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A92B3" w14:textId="738CEBF4" w:rsidR="00891B41" w:rsidRDefault="002B2F0F">
      <w:pPr>
        <w:pBdr>
          <w:bottom w:val="single" w:sz="6" w:space="1" w:color="auto"/>
        </w:pBdr>
        <w:tabs>
          <w:tab w:val="right" w:pos="9270"/>
        </w:tabs>
        <w:rPr>
          <w:sz w:val="36"/>
        </w:rPr>
      </w:pPr>
      <w:r>
        <w:rPr>
          <w:noProof/>
        </w:rPr>
        <w:drawing>
          <wp:inline distT="0" distB="0" distL="0" distR="0" wp14:anchorId="72343E03" wp14:editId="4AF2E4AF">
            <wp:extent cx="1600200" cy="5715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0200" cy="571500"/>
                    </a:xfrm>
                    <a:prstGeom prst="rect">
                      <a:avLst/>
                    </a:prstGeom>
                    <a:noFill/>
                    <a:ln>
                      <a:noFill/>
                    </a:ln>
                  </pic:spPr>
                </pic:pic>
              </a:graphicData>
            </a:graphic>
          </wp:inline>
        </w:drawing>
      </w:r>
      <w:r w:rsidR="007948F8">
        <w:t xml:space="preserve">    </w:t>
      </w:r>
      <w:r w:rsidR="002D5E62">
        <w:tab/>
      </w:r>
      <w:r w:rsidR="00891B41">
        <w:rPr>
          <w:rFonts w:ascii="Arial" w:hAnsi="Arial" w:cs="Arial"/>
          <w:sz w:val="44"/>
        </w:rPr>
        <w:t>News Release</w:t>
      </w:r>
    </w:p>
    <w:p w14:paraId="2E5D6DDF" w14:textId="3BBB7197" w:rsidR="00CF2B73" w:rsidRPr="005436A7" w:rsidRDefault="00CF2B73" w:rsidP="00CF2B73">
      <w:pPr>
        <w:pStyle w:val="BodyText2"/>
        <w:spacing w:after="0" w:line="240" w:lineRule="auto"/>
        <w:rPr>
          <w:rFonts w:ascii="Arial" w:hAnsi="Arial" w:cs="Arial"/>
          <w:b/>
          <w:sz w:val="22"/>
          <w:szCs w:val="22"/>
        </w:rPr>
      </w:pPr>
      <w:r w:rsidRPr="005436A7">
        <w:rPr>
          <w:rFonts w:ascii="Arial" w:hAnsi="Arial" w:cs="Arial"/>
          <w:b/>
          <w:sz w:val="22"/>
          <w:szCs w:val="22"/>
        </w:rPr>
        <w:t>FOR IMMEDIATE RELEASE</w:t>
      </w:r>
    </w:p>
    <w:p w14:paraId="09E288A9" w14:textId="77777777" w:rsidR="00CF2B73" w:rsidRPr="005436A7" w:rsidRDefault="00CF2B73" w:rsidP="00CF2B73">
      <w:pPr>
        <w:spacing w:line="240" w:lineRule="atLeast"/>
        <w:rPr>
          <w:rFonts w:ascii="Arial" w:hAnsi="Arial" w:cs="Arial"/>
          <w:sz w:val="22"/>
        </w:rPr>
      </w:pPr>
    </w:p>
    <w:p w14:paraId="52A16A73" w14:textId="77777777" w:rsidR="00CF2B73" w:rsidRPr="005436A7" w:rsidRDefault="00CF2B73" w:rsidP="00CF2B73">
      <w:pPr>
        <w:spacing w:line="240" w:lineRule="atLeast"/>
        <w:rPr>
          <w:rFonts w:ascii="Arial" w:hAnsi="Arial" w:cs="Arial"/>
          <w:b/>
          <w:sz w:val="22"/>
        </w:rPr>
      </w:pPr>
    </w:p>
    <w:p w14:paraId="0E95D56B" w14:textId="41E900B1" w:rsidR="00CF2B73" w:rsidRPr="005436A7" w:rsidRDefault="00411B0D" w:rsidP="00CF2B73">
      <w:pPr>
        <w:spacing w:line="240" w:lineRule="atLeast"/>
        <w:jc w:val="center"/>
        <w:rPr>
          <w:rFonts w:ascii="Arial" w:hAnsi="Arial" w:cs="Arial"/>
          <w:b/>
        </w:rPr>
      </w:pPr>
      <w:bookmarkStart w:id="0" w:name="_Hlk101432551"/>
      <w:r w:rsidRPr="005436A7">
        <w:rPr>
          <w:rFonts w:ascii="Arial" w:hAnsi="Arial" w:cs="Arial"/>
          <w:b/>
        </w:rPr>
        <w:t xml:space="preserve">Merck Animal Health Announces </w:t>
      </w:r>
      <w:r w:rsidR="002A767C">
        <w:rPr>
          <w:rFonts w:ascii="Arial" w:hAnsi="Arial" w:cs="Arial"/>
          <w:b/>
        </w:rPr>
        <w:t>FDA Approval of SAFE-GUARD</w:t>
      </w:r>
      <w:r w:rsidR="002A767C" w:rsidRPr="002A767C">
        <w:rPr>
          <w:rFonts w:ascii="Arial" w:hAnsi="Arial" w:cs="Arial"/>
          <w:b/>
          <w:vertAlign w:val="superscript"/>
        </w:rPr>
        <w:t>®</w:t>
      </w:r>
      <w:r w:rsidR="002A767C">
        <w:rPr>
          <w:rFonts w:ascii="Arial" w:hAnsi="Arial" w:cs="Arial"/>
          <w:b/>
        </w:rPr>
        <w:t xml:space="preserve"> AQUASOL (fenbendazole oral suspension) for Use in Backyard Chicken Flocks</w:t>
      </w:r>
    </w:p>
    <w:p w14:paraId="252921FF" w14:textId="77777777" w:rsidR="00CF2B73" w:rsidRPr="005436A7" w:rsidRDefault="00CF2B73" w:rsidP="00CF2B73">
      <w:pPr>
        <w:spacing w:line="240" w:lineRule="atLeast"/>
        <w:jc w:val="center"/>
        <w:rPr>
          <w:rFonts w:ascii="Arial" w:hAnsi="Arial" w:cs="Arial"/>
          <w:sz w:val="22"/>
        </w:rPr>
      </w:pPr>
    </w:p>
    <w:p w14:paraId="3609E8FD" w14:textId="7E023CF0" w:rsidR="00CF2B73" w:rsidRPr="005436A7" w:rsidRDefault="002A5E2D" w:rsidP="00CF2B73">
      <w:pPr>
        <w:spacing w:line="240" w:lineRule="atLeast"/>
        <w:jc w:val="center"/>
        <w:rPr>
          <w:rFonts w:ascii="Arial" w:hAnsi="Arial" w:cs="Arial"/>
          <w:b/>
          <w:sz w:val="22"/>
        </w:rPr>
      </w:pPr>
      <w:r>
        <w:rPr>
          <w:rFonts w:ascii="Arial" w:hAnsi="Arial" w:cs="Arial"/>
          <w:b/>
          <w:sz w:val="22"/>
        </w:rPr>
        <w:t>O</w:t>
      </w:r>
      <w:r w:rsidR="002A767C">
        <w:rPr>
          <w:rFonts w:ascii="Arial" w:hAnsi="Arial" w:cs="Arial"/>
          <w:b/>
          <w:sz w:val="22"/>
        </w:rPr>
        <w:t xml:space="preserve">nly FDA-approved chicken dewormer designed for home </w:t>
      </w:r>
      <w:proofErr w:type="gramStart"/>
      <w:r w:rsidR="002A767C">
        <w:rPr>
          <w:rFonts w:ascii="Arial" w:hAnsi="Arial" w:cs="Arial"/>
          <w:b/>
          <w:sz w:val="22"/>
        </w:rPr>
        <w:t>use</w:t>
      </w:r>
      <w:proofErr w:type="gramEnd"/>
    </w:p>
    <w:bookmarkEnd w:id="0"/>
    <w:p w14:paraId="4C483C3C" w14:textId="77777777" w:rsidR="002E5023" w:rsidRPr="005436A7" w:rsidRDefault="002E5023" w:rsidP="002E5023">
      <w:pPr>
        <w:rPr>
          <w:rFonts w:ascii="Arial" w:hAnsi="Arial" w:cs="Arial"/>
        </w:rPr>
      </w:pPr>
    </w:p>
    <w:p w14:paraId="7D4305B2" w14:textId="2AAEF24A" w:rsidR="00EC548B" w:rsidRDefault="00DA08CC" w:rsidP="00BC2886">
      <w:pPr>
        <w:spacing w:line="276" w:lineRule="auto"/>
        <w:rPr>
          <w:rFonts w:ascii="Arial" w:hAnsi="Arial" w:cs="Arial"/>
          <w:sz w:val="22"/>
          <w:szCs w:val="22"/>
        </w:rPr>
      </w:pPr>
      <w:r w:rsidRPr="005436A7">
        <w:rPr>
          <w:rFonts w:ascii="Arial" w:hAnsi="Arial" w:cs="Arial"/>
          <w:sz w:val="22"/>
          <w:szCs w:val="22"/>
        </w:rPr>
        <w:t xml:space="preserve">RAHWAY, </w:t>
      </w:r>
      <w:r w:rsidR="00872DBA" w:rsidRPr="005436A7">
        <w:rPr>
          <w:rFonts w:ascii="Arial" w:hAnsi="Arial" w:cs="Arial"/>
          <w:sz w:val="22"/>
          <w:szCs w:val="22"/>
        </w:rPr>
        <w:t>N.</w:t>
      </w:r>
      <w:r w:rsidR="00CF2B73" w:rsidRPr="005436A7">
        <w:rPr>
          <w:rFonts w:ascii="Arial" w:hAnsi="Arial" w:cs="Arial"/>
          <w:sz w:val="22"/>
          <w:szCs w:val="22"/>
        </w:rPr>
        <w:t xml:space="preserve">J., </w:t>
      </w:r>
      <w:r w:rsidR="002A767C" w:rsidRPr="005C66F3">
        <w:rPr>
          <w:rFonts w:ascii="Arial" w:hAnsi="Arial" w:cs="Arial"/>
          <w:sz w:val="22"/>
          <w:szCs w:val="22"/>
        </w:rPr>
        <w:t xml:space="preserve">Nov. </w:t>
      </w:r>
      <w:r w:rsidR="005C66F3" w:rsidRPr="005C66F3">
        <w:rPr>
          <w:rFonts w:ascii="Arial" w:hAnsi="Arial" w:cs="Arial"/>
          <w:sz w:val="22"/>
          <w:szCs w:val="22"/>
        </w:rPr>
        <w:t>13</w:t>
      </w:r>
      <w:r w:rsidR="00CF2B73" w:rsidRPr="005C66F3">
        <w:rPr>
          <w:rFonts w:ascii="Arial" w:hAnsi="Arial" w:cs="Arial"/>
          <w:sz w:val="22"/>
          <w:szCs w:val="22"/>
        </w:rPr>
        <w:t>, 202</w:t>
      </w:r>
      <w:r w:rsidR="009A4B1B" w:rsidRPr="005C66F3">
        <w:rPr>
          <w:rFonts w:ascii="Arial" w:hAnsi="Arial" w:cs="Arial"/>
          <w:sz w:val="22"/>
          <w:szCs w:val="22"/>
        </w:rPr>
        <w:t>4</w:t>
      </w:r>
      <w:r w:rsidR="00CF2B73" w:rsidRPr="005436A7">
        <w:rPr>
          <w:rFonts w:ascii="Arial" w:hAnsi="Arial" w:cs="Arial"/>
          <w:sz w:val="22"/>
          <w:szCs w:val="22"/>
        </w:rPr>
        <w:t xml:space="preserve"> – Merck Animal Health, known as MSD Animal Health outside </w:t>
      </w:r>
      <w:r w:rsidR="00A54321" w:rsidRPr="005436A7">
        <w:rPr>
          <w:rFonts w:ascii="Arial" w:hAnsi="Arial" w:cs="Arial"/>
          <w:sz w:val="22"/>
          <w:szCs w:val="22"/>
        </w:rPr>
        <w:t xml:space="preserve">of </w:t>
      </w:r>
      <w:r w:rsidR="00CF2B73" w:rsidRPr="005436A7">
        <w:rPr>
          <w:rFonts w:ascii="Arial" w:hAnsi="Arial" w:cs="Arial"/>
          <w:sz w:val="22"/>
          <w:szCs w:val="22"/>
        </w:rPr>
        <w:t xml:space="preserve">the United States and Canada, a division of Merck &amp; Co., Inc., </w:t>
      </w:r>
      <w:r w:rsidR="00341BF9" w:rsidRPr="005436A7">
        <w:rPr>
          <w:rFonts w:ascii="Arial" w:hAnsi="Arial" w:cs="Arial"/>
          <w:sz w:val="22"/>
          <w:szCs w:val="22"/>
        </w:rPr>
        <w:t xml:space="preserve">Rahway, </w:t>
      </w:r>
      <w:r w:rsidR="00CF2B73" w:rsidRPr="005436A7">
        <w:rPr>
          <w:rFonts w:ascii="Arial" w:hAnsi="Arial" w:cs="Arial"/>
          <w:sz w:val="22"/>
          <w:szCs w:val="22"/>
        </w:rPr>
        <w:t xml:space="preserve">N.J., USA (NYSE:MRK), </w:t>
      </w:r>
      <w:r w:rsidR="00BC2886" w:rsidRPr="005436A7">
        <w:rPr>
          <w:rFonts w:ascii="Arial" w:hAnsi="Arial" w:cs="Arial"/>
          <w:sz w:val="22"/>
          <w:szCs w:val="22"/>
        </w:rPr>
        <w:t xml:space="preserve">today </w:t>
      </w:r>
      <w:r w:rsidR="00CF2B73" w:rsidRPr="005436A7">
        <w:rPr>
          <w:rFonts w:ascii="Arial" w:hAnsi="Arial" w:cs="Arial"/>
          <w:sz w:val="22"/>
          <w:szCs w:val="22"/>
        </w:rPr>
        <w:t>announce</w:t>
      </w:r>
      <w:r w:rsidR="00172F0D" w:rsidRPr="005436A7">
        <w:rPr>
          <w:rFonts w:ascii="Arial" w:hAnsi="Arial" w:cs="Arial"/>
          <w:sz w:val="22"/>
          <w:szCs w:val="22"/>
        </w:rPr>
        <w:t xml:space="preserve">d </w:t>
      </w:r>
      <w:r w:rsidR="00014E38">
        <w:rPr>
          <w:rFonts w:ascii="Arial" w:hAnsi="Arial" w:cs="Arial"/>
          <w:sz w:val="22"/>
          <w:szCs w:val="22"/>
        </w:rPr>
        <w:t>U.S. Food and Drug Administration (FDA)</w:t>
      </w:r>
      <w:r w:rsidR="005C48F1" w:rsidRPr="005436A7">
        <w:rPr>
          <w:rFonts w:ascii="Arial" w:hAnsi="Arial" w:cs="Arial"/>
          <w:sz w:val="22"/>
          <w:szCs w:val="22"/>
        </w:rPr>
        <w:t xml:space="preserve"> </w:t>
      </w:r>
      <w:r w:rsidR="00014E38">
        <w:rPr>
          <w:rFonts w:ascii="Arial" w:hAnsi="Arial" w:cs="Arial"/>
          <w:sz w:val="22"/>
          <w:szCs w:val="22"/>
        </w:rPr>
        <w:t>approval of</w:t>
      </w:r>
      <w:r w:rsidR="005C48F1" w:rsidRPr="005436A7">
        <w:rPr>
          <w:rFonts w:ascii="Arial" w:hAnsi="Arial" w:cs="Arial"/>
          <w:sz w:val="22"/>
          <w:szCs w:val="22"/>
        </w:rPr>
        <w:t xml:space="preserve"> </w:t>
      </w:r>
      <w:r w:rsidR="002A767C">
        <w:rPr>
          <w:rFonts w:ascii="Arial" w:hAnsi="Arial" w:cs="Arial"/>
          <w:sz w:val="22"/>
          <w:szCs w:val="22"/>
        </w:rPr>
        <w:t>SAFE-GUARD</w:t>
      </w:r>
      <w:r w:rsidR="000D07FB" w:rsidRPr="000D07FB">
        <w:rPr>
          <w:rFonts w:ascii="Arial" w:hAnsi="Arial" w:cs="Arial"/>
          <w:sz w:val="22"/>
          <w:szCs w:val="22"/>
          <w:vertAlign w:val="superscript"/>
        </w:rPr>
        <w:t>®</w:t>
      </w:r>
      <w:r w:rsidR="002A767C">
        <w:rPr>
          <w:rFonts w:ascii="Arial" w:hAnsi="Arial" w:cs="Arial"/>
          <w:sz w:val="22"/>
          <w:szCs w:val="22"/>
        </w:rPr>
        <w:t xml:space="preserve"> AQUASOL (fenbendazole oral suspension) for use in backyard chicken flocks</w:t>
      </w:r>
      <w:r w:rsidR="000D07FB">
        <w:rPr>
          <w:rFonts w:ascii="Arial" w:hAnsi="Arial" w:cs="Arial"/>
          <w:sz w:val="22"/>
          <w:szCs w:val="22"/>
        </w:rPr>
        <w:t>, making it the only FDA-approved chicken dewormer designed for home use</w:t>
      </w:r>
      <w:r w:rsidR="00894D8C" w:rsidRPr="005436A7">
        <w:rPr>
          <w:rFonts w:ascii="Arial" w:hAnsi="Arial" w:cs="Arial"/>
          <w:sz w:val="22"/>
          <w:szCs w:val="22"/>
        </w:rPr>
        <w:t xml:space="preserve">. </w:t>
      </w:r>
    </w:p>
    <w:p w14:paraId="35BDB30A" w14:textId="77777777" w:rsidR="00014E38" w:rsidRPr="005436A7" w:rsidRDefault="00014E38" w:rsidP="00BC2886">
      <w:pPr>
        <w:spacing w:line="276" w:lineRule="auto"/>
        <w:rPr>
          <w:rFonts w:ascii="Arial" w:hAnsi="Arial" w:cs="Arial"/>
          <w:sz w:val="22"/>
          <w:szCs w:val="22"/>
        </w:rPr>
      </w:pPr>
    </w:p>
    <w:p w14:paraId="527E8390" w14:textId="24D7B604" w:rsidR="00E64E6F" w:rsidRPr="005436A7" w:rsidRDefault="000D07FB" w:rsidP="0059112D">
      <w:pPr>
        <w:spacing w:line="276" w:lineRule="auto"/>
        <w:ind w:firstLine="720"/>
        <w:rPr>
          <w:rFonts w:ascii="Arial" w:hAnsi="Arial" w:cs="Arial"/>
          <w:sz w:val="22"/>
          <w:szCs w:val="22"/>
        </w:rPr>
      </w:pPr>
      <w:r>
        <w:rPr>
          <w:rFonts w:ascii="Arial" w:hAnsi="Arial" w:cs="Arial"/>
          <w:sz w:val="22"/>
          <w:szCs w:val="22"/>
        </w:rPr>
        <w:t xml:space="preserve">SAFE-GUARD AQUASOL is indicated for the treatment and control of adult </w:t>
      </w:r>
      <w:proofErr w:type="spellStart"/>
      <w:r w:rsidRPr="000D07FB">
        <w:rPr>
          <w:rFonts w:ascii="Arial" w:hAnsi="Arial" w:cs="Arial"/>
          <w:i/>
          <w:iCs/>
          <w:sz w:val="22"/>
          <w:szCs w:val="22"/>
        </w:rPr>
        <w:t>Ascaridia</w:t>
      </w:r>
      <w:proofErr w:type="spellEnd"/>
      <w:r w:rsidRPr="000D07FB">
        <w:rPr>
          <w:rFonts w:ascii="Arial" w:hAnsi="Arial" w:cs="Arial"/>
          <w:i/>
          <w:iCs/>
          <w:sz w:val="22"/>
          <w:szCs w:val="22"/>
        </w:rPr>
        <w:t xml:space="preserve"> galli</w:t>
      </w:r>
      <w:r>
        <w:rPr>
          <w:rFonts w:ascii="Arial" w:hAnsi="Arial" w:cs="Arial"/>
          <w:sz w:val="22"/>
          <w:szCs w:val="22"/>
        </w:rPr>
        <w:t xml:space="preserve"> in broiler chickens and replacement chickens and for the treatment and control of adult </w:t>
      </w:r>
      <w:proofErr w:type="spellStart"/>
      <w:r w:rsidRPr="000D07FB">
        <w:rPr>
          <w:rFonts w:ascii="Arial" w:hAnsi="Arial" w:cs="Arial"/>
          <w:i/>
          <w:iCs/>
          <w:sz w:val="22"/>
          <w:szCs w:val="22"/>
        </w:rPr>
        <w:t>A</w:t>
      </w:r>
      <w:r w:rsidR="00102E1C">
        <w:rPr>
          <w:rFonts w:ascii="Arial" w:hAnsi="Arial" w:cs="Arial"/>
          <w:i/>
          <w:iCs/>
          <w:sz w:val="22"/>
          <w:szCs w:val="22"/>
        </w:rPr>
        <w:t>scaridia</w:t>
      </w:r>
      <w:proofErr w:type="spellEnd"/>
      <w:r w:rsidRPr="000D07FB">
        <w:rPr>
          <w:rFonts w:ascii="Arial" w:hAnsi="Arial" w:cs="Arial"/>
          <w:i/>
          <w:iCs/>
          <w:sz w:val="22"/>
          <w:szCs w:val="22"/>
        </w:rPr>
        <w:t xml:space="preserve"> galli</w:t>
      </w:r>
      <w:r>
        <w:rPr>
          <w:rFonts w:ascii="Arial" w:hAnsi="Arial" w:cs="Arial"/>
          <w:sz w:val="22"/>
          <w:szCs w:val="22"/>
        </w:rPr>
        <w:t xml:space="preserve"> and </w:t>
      </w:r>
      <w:proofErr w:type="spellStart"/>
      <w:r w:rsidRPr="000D07FB">
        <w:rPr>
          <w:rFonts w:ascii="Arial" w:hAnsi="Arial" w:cs="Arial"/>
          <w:i/>
          <w:iCs/>
          <w:sz w:val="22"/>
          <w:szCs w:val="22"/>
        </w:rPr>
        <w:t>Heterakis</w:t>
      </w:r>
      <w:proofErr w:type="spellEnd"/>
      <w:r w:rsidRPr="000D07FB">
        <w:rPr>
          <w:rFonts w:ascii="Arial" w:hAnsi="Arial" w:cs="Arial"/>
          <w:i/>
          <w:iCs/>
          <w:sz w:val="22"/>
          <w:szCs w:val="22"/>
        </w:rPr>
        <w:t xml:space="preserve"> </w:t>
      </w:r>
      <w:proofErr w:type="spellStart"/>
      <w:r w:rsidRPr="000D07FB">
        <w:rPr>
          <w:rFonts w:ascii="Arial" w:hAnsi="Arial" w:cs="Arial"/>
          <w:i/>
          <w:iCs/>
          <w:sz w:val="22"/>
          <w:szCs w:val="22"/>
        </w:rPr>
        <w:t>gallinarium</w:t>
      </w:r>
      <w:proofErr w:type="spellEnd"/>
      <w:r>
        <w:rPr>
          <w:rFonts w:ascii="Arial" w:hAnsi="Arial" w:cs="Arial"/>
          <w:sz w:val="22"/>
          <w:szCs w:val="22"/>
        </w:rPr>
        <w:t xml:space="preserve"> in breeding</w:t>
      </w:r>
      <w:r w:rsidR="00E56FB9">
        <w:rPr>
          <w:rFonts w:ascii="Arial" w:hAnsi="Arial" w:cs="Arial"/>
          <w:sz w:val="22"/>
          <w:szCs w:val="22"/>
        </w:rPr>
        <w:t xml:space="preserve"> chickens</w:t>
      </w:r>
      <w:r>
        <w:rPr>
          <w:rFonts w:ascii="Arial" w:hAnsi="Arial" w:cs="Arial"/>
          <w:sz w:val="22"/>
          <w:szCs w:val="22"/>
        </w:rPr>
        <w:t xml:space="preserve"> and laying hens</w:t>
      </w:r>
      <w:r w:rsidR="002A2AFE" w:rsidRPr="005436A7">
        <w:rPr>
          <w:rFonts w:ascii="Arial" w:hAnsi="Arial" w:cs="Arial"/>
          <w:sz w:val="22"/>
          <w:szCs w:val="22"/>
        </w:rPr>
        <w:t>.</w:t>
      </w:r>
      <w:r w:rsidR="00894D8C" w:rsidRPr="005436A7">
        <w:rPr>
          <w:rFonts w:ascii="Arial" w:hAnsi="Arial" w:cs="Arial"/>
          <w:sz w:val="22"/>
          <w:szCs w:val="22"/>
        </w:rPr>
        <w:t xml:space="preserve"> </w:t>
      </w:r>
      <w:r w:rsidR="0059112D">
        <w:rPr>
          <w:rFonts w:ascii="Arial" w:hAnsi="Arial" w:cs="Arial"/>
          <w:sz w:val="22"/>
          <w:szCs w:val="22"/>
        </w:rPr>
        <w:t xml:space="preserve">It is administered orally to chickens by adding a daily dose to drinking water for five consecutive days. </w:t>
      </w:r>
    </w:p>
    <w:p w14:paraId="31A9EDF1" w14:textId="77777777" w:rsidR="00BC2886" w:rsidRPr="005436A7" w:rsidRDefault="00BC2886" w:rsidP="00BC2886">
      <w:pPr>
        <w:spacing w:line="276" w:lineRule="auto"/>
        <w:rPr>
          <w:rFonts w:ascii="Arial" w:hAnsi="Arial" w:cs="Arial"/>
        </w:rPr>
      </w:pPr>
    </w:p>
    <w:p w14:paraId="66007F93" w14:textId="121D3CDC" w:rsidR="0050440F" w:rsidRDefault="005C784A" w:rsidP="0059112D">
      <w:pPr>
        <w:spacing w:line="276" w:lineRule="auto"/>
        <w:ind w:firstLine="720"/>
        <w:rPr>
          <w:rFonts w:ascii="Arial" w:hAnsi="Arial" w:cs="Arial"/>
          <w:sz w:val="22"/>
          <w:szCs w:val="22"/>
        </w:rPr>
      </w:pPr>
      <w:bookmarkStart w:id="1" w:name="_Hlk62547695"/>
      <w:r w:rsidRPr="005436A7">
        <w:rPr>
          <w:rFonts w:ascii="Arial" w:hAnsi="Arial" w:cs="Arial"/>
          <w:sz w:val="22"/>
          <w:szCs w:val="22"/>
        </w:rPr>
        <w:t>“</w:t>
      </w:r>
      <w:r w:rsidR="001F61EB" w:rsidRPr="001F61EB">
        <w:rPr>
          <w:rFonts w:ascii="Arial" w:hAnsi="Arial" w:cs="Arial"/>
          <w:sz w:val="22"/>
          <w:szCs w:val="22"/>
        </w:rPr>
        <w:t>Chicken flocks of any size can be affected by intestinal parasites, leading to animal welfare concerns and decreased production efficiency. To help backyard chicken owners tackle these challenges, Merck Animal Health is proud to introduce a new addition to our trusted SAFE-GUARD family—a highly effective dewormer specifically designed for backyard flocks</w:t>
      </w:r>
      <w:r w:rsidRPr="001F61EB">
        <w:rPr>
          <w:rFonts w:ascii="Arial" w:hAnsi="Arial" w:cs="Arial"/>
          <w:sz w:val="22"/>
          <w:szCs w:val="22"/>
        </w:rPr>
        <w:t>,</w:t>
      </w:r>
      <w:r w:rsidRPr="005436A7">
        <w:rPr>
          <w:rFonts w:ascii="Arial" w:hAnsi="Arial" w:cs="Arial"/>
          <w:sz w:val="22"/>
          <w:szCs w:val="22"/>
        </w:rPr>
        <w:t>”</w:t>
      </w:r>
      <w:r w:rsidR="001F7280" w:rsidRPr="005436A7">
        <w:rPr>
          <w:rFonts w:ascii="Arial" w:hAnsi="Arial" w:cs="Arial"/>
          <w:sz w:val="22"/>
          <w:szCs w:val="22"/>
        </w:rPr>
        <w:t xml:space="preserve"> </w:t>
      </w:r>
      <w:r w:rsidR="00EA579F" w:rsidRPr="005436A7">
        <w:rPr>
          <w:rFonts w:ascii="Arial" w:hAnsi="Arial" w:cs="Arial"/>
          <w:sz w:val="22"/>
          <w:szCs w:val="22"/>
        </w:rPr>
        <w:t>said</w:t>
      </w:r>
      <w:r w:rsidR="008904E4" w:rsidRPr="005436A7">
        <w:rPr>
          <w:rFonts w:ascii="Arial" w:hAnsi="Arial" w:cs="Arial"/>
          <w:sz w:val="22"/>
          <w:szCs w:val="22"/>
        </w:rPr>
        <w:t xml:space="preserve"> </w:t>
      </w:r>
      <w:r w:rsidR="00415D1B">
        <w:rPr>
          <w:rFonts w:ascii="Arial" w:hAnsi="Arial" w:cs="Arial"/>
          <w:sz w:val="22"/>
          <w:szCs w:val="22"/>
        </w:rPr>
        <w:t>Blayne Mozisek</w:t>
      </w:r>
      <w:r w:rsidR="00A70CE7" w:rsidRPr="005436A7">
        <w:rPr>
          <w:rFonts w:ascii="Arial" w:hAnsi="Arial" w:cs="Arial"/>
          <w:sz w:val="22"/>
          <w:szCs w:val="22"/>
        </w:rPr>
        <w:t>, D.V.M.</w:t>
      </w:r>
      <w:r w:rsidR="0079458A" w:rsidRPr="005436A7">
        <w:rPr>
          <w:rFonts w:ascii="Arial" w:hAnsi="Arial" w:cs="Arial"/>
          <w:sz w:val="22"/>
          <w:szCs w:val="22"/>
        </w:rPr>
        <w:t xml:space="preserve">, </w:t>
      </w:r>
      <w:r w:rsidR="00A70CE7" w:rsidRPr="005436A7">
        <w:rPr>
          <w:rFonts w:ascii="Arial" w:hAnsi="Arial" w:cs="Arial"/>
          <w:sz w:val="22"/>
          <w:szCs w:val="22"/>
        </w:rPr>
        <w:t xml:space="preserve">livestock </w:t>
      </w:r>
      <w:r w:rsidR="00415D1B">
        <w:rPr>
          <w:rFonts w:ascii="Arial" w:hAnsi="Arial" w:cs="Arial"/>
          <w:sz w:val="22"/>
          <w:szCs w:val="22"/>
        </w:rPr>
        <w:t>insights and outcomes</w:t>
      </w:r>
      <w:r w:rsidR="00A70CE7" w:rsidRPr="005436A7">
        <w:rPr>
          <w:rFonts w:ascii="Arial" w:hAnsi="Arial" w:cs="Arial"/>
          <w:sz w:val="22"/>
          <w:szCs w:val="22"/>
        </w:rPr>
        <w:t xml:space="preserve"> </w:t>
      </w:r>
      <w:r w:rsidR="00EA579F" w:rsidRPr="005436A7">
        <w:rPr>
          <w:rFonts w:ascii="Arial" w:hAnsi="Arial" w:cs="Arial"/>
          <w:sz w:val="22"/>
          <w:szCs w:val="22"/>
        </w:rPr>
        <w:t>for Merck Animal Health</w:t>
      </w:r>
      <w:r w:rsidR="001F7280" w:rsidRPr="005436A7">
        <w:rPr>
          <w:rFonts w:ascii="Arial" w:hAnsi="Arial" w:cs="Arial"/>
          <w:sz w:val="22"/>
          <w:szCs w:val="22"/>
        </w:rPr>
        <w:t>.</w:t>
      </w:r>
      <w:r w:rsidRPr="005436A7">
        <w:rPr>
          <w:rFonts w:ascii="Arial" w:hAnsi="Arial" w:cs="Arial"/>
          <w:sz w:val="22"/>
          <w:szCs w:val="22"/>
        </w:rPr>
        <w:t xml:space="preserve"> “</w:t>
      </w:r>
      <w:r w:rsidR="0059112D">
        <w:rPr>
          <w:rFonts w:ascii="Arial" w:hAnsi="Arial" w:cs="Arial"/>
          <w:sz w:val="22"/>
          <w:szCs w:val="22"/>
        </w:rPr>
        <w:t xml:space="preserve">SAFE-GUARD AQUASOL </w:t>
      </w:r>
      <w:r w:rsidR="001F61EB">
        <w:rPr>
          <w:rFonts w:ascii="Arial" w:hAnsi="Arial" w:cs="Arial"/>
          <w:sz w:val="22"/>
          <w:szCs w:val="22"/>
        </w:rPr>
        <w:t>effectively treats common intestinal parasites in the average-sized backyard flock with the added benefit of no meat or egg withdrawal</w:t>
      </w:r>
      <w:r w:rsidR="008D52BA" w:rsidRPr="005436A7">
        <w:rPr>
          <w:rFonts w:ascii="Arial" w:hAnsi="Arial" w:cs="Arial"/>
          <w:sz w:val="22"/>
          <w:szCs w:val="22"/>
        </w:rPr>
        <w:t>.</w:t>
      </w:r>
      <w:r w:rsidR="008F1C14" w:rsidRPr="005436A7">
        <w:rPr>
          <w:rFonts w:ascii="Arial" w:hAnsi="Arial" w:cs="Arial"/>
          <w:sz w:val="22"/>
          <w:szCs w:val="22"/>
        </w:rPr>
        <w:t>”</w:t>
      </w:r>
    </w:p>
    <w:p w14:paraId="660F6311" w14:textId="77777777" w:rsidR="0059112D" w:rsidRPr="0059112D" w:rsidRDefault="0059112D" w:rsidP="0059112D">
      <w:pPr>
        <w:spacing w:line="276" w:lineRule="auto"/>
        <w:ind w:firstLine="720"/>
        <w:rPr>
          <w:rFonts w:ascii="Arial" w:hAnsi="Arial" w:cs="Arial"/>
          <w:sz w:val="22"/>
          <w:szCs w:val="22"/>
        </w:rPr>
      </w:pPr>
    </w:p>
    <w:p w14:paraId="418D5FD1" w14:textId="6DEEC8CD" w:rsidR="00064F13" w:rsidRPr="00726102" w:rsidRDefault="00064F13" w:rsidP="002344AC">
      <w:pPr>
        <w:pStyle w:val="BodyText"/>
        <w:shd w:val="clear" w:color="auto" w:fill="FFFFFF"/>
        <w:spacing w:line="276" w:lineRule="auto"/>
        <w:jc w:val="left"/>
        <w:rPr>
          <w:rFonts w:cs="Arial"/>
          <w:bCs/>
        </w:rPr>
      </w:pPr>
      <w:r w:rsidRPr="005436A7">
        <w:rPr>
          <w:rFonts w:cs="Arial"/>
          <w:b/>
        </w:rPr>
        <w:tab/>
      </w:r>
      <w:r w:rsidR="00415D1B">
        <w:rPr>
          <w:rFonts w:cs="Arial"/>
          <w:bCs/>
        </w:rPr>
        <w:t>SAFE-GUARD AQUASOL</w:t>
      </w:r>
      <w:r w:rsidR="002344AC">
        <w:rPr>
          <w:rFonts w:cs="Arial"/>
          <w:bCs/>
        </w:rPr>
        <w:t xml:space="preserve"> for home use</w:t>
      </w:r>
      <w:r w:rsidR="00415D1B">
        <w:rPr>
          <w:rFonts w:cs="Arial"/>
          <w:bCs/>
        </w:rPr>
        <w:t xml:space="preserve"> </w:t>
      </w:r>
      <w:r w:rsidR="002344AC">
        <w:rPr>
          <w:rFonts w:cs="Arial"/>
          <w:bCs/>
        </w:rPr>
        <w:t xml:space="preserve">will be available in </w:t>
      </w:r>
      <w:r w:rsidR="0059112D">
        <w:rPr>
          <w:rFonts w:cs="Arial"/>
          <w:bCs/>
        </w:rPr>
        <w:t xml:space="preserve">a 3 mL presentation at </w:t>
      </w:r>
      <w:r w:rsidR="002344AC">
        <w:rPr>
          <w:rFonts w:cs="Arial"/>
          <w:bCs/>
        </w:rPr>
        <w:t xml:space="preserve">fleet and dealer retail outlets beginning in January 2025. </w:t>
      </w:r>
      <w:r w:rsidR="00D60606">
        <w:rPr>
          <w:rFonts w:cs="Arial"/>
          <w:bCs/>
        </w:rPr>
        <w:t>More information will be available soon at</w:t>
      </w:r>
      <w:r w:rsidR="002344AC">
        <w:rPr>
          <w:rFonts w:cs="Arial"/>
          <w:bCs/>
        </w:rPr>
        <w:t xml:space="preserve"> DewormMyChickens.com</w:t>
      </w:r>
      <w:r w:rsidRPr="005436A7">
        <w:rPr>
          <w:rFonts w:cs="Arial"/>
          <w:bCs/>
        </w:rPr>
        <w:t>.</w:t>
      </w:r>
    </w:p>
    <w:p w14:paraId="44DE029A" w14:textId="77777777" w:rsidR="00014E38" w:rsidRDefault="00014E38" w:rsidP="00EE540E">
      <w:pPr>
        <w:pStyle w:val="BodyText"/>
        <w:shd w:val="clear" w:color="auto" w:fill="FFFFFF"/>
        <w:spacing w:line="276" w:lineRule="auto"/>
        <w:jc w:val="left"/>
        <w:rPr>
          <w:rFonts w:cs="Arial"/>
          <w:bCs/>
        </w:rPr>
      </w:pPr>
    </w:p>
    <w:p w14:paraId="2D609BD7" w14:textId="6EC195B3" w:rsidR="002A767C" w:rsidRPr="00BB2494" w:rsidRDefault="00BB2494" w:rsidP="00EE540E">
      <w:pPr>
        <w:pStyle w:val="BodyText"/>
        <w:shd w:val="clear" w:color="auto" w:fill="FFFFFF"/>
        <w:spacing w:line="276" w:lineRule="auto"/>
        <w:jc w:val="left"/>
        <w:rPr>
          <w:rFonts w:cs="Arial"/>
          <w:bCs/>
          <w:color w:val="00877C"/>
        </w:rPr>
      </w:pPr>
      <w:hyperlink r:id="rId13" w:history="1">
        <w:r w:rsidR="00014E38" w:rsidRPr="00BB2494">
          <w:rPr>
            <w:rStyle w:val="Hyperlink"/>
            <w:rFonts w:cs="Arial"/>
            <w:bCs/>
            <w:color w:val="00877C"/>
          </w:rPr>
          <w:t>SAFE-GUARD AQUASOL Product Label</w:t>
        </w:r>
      </w:hyperlink>
    </w:p>
    <w:p w14:paraId="636CA91B" w14:textId="77777777" w:rsidR="00014E38" w:rsidRDefault="00014E38" w:rsidP="00EE540E">
      <w:pPr>
        <w:pStyle w:val="BodyText"/>
        <w:shd w:val="clear" w:color="auto" w:fill="FFFFFF"/>
        <w:spacing w:line="276" w:lineRule="auto"/>
        <w:jc w:val="left"/>
        <w:rPr>
          <w:rFonts w:cs="Arial"/>
          <w:bCs/>
        </w:rPr>
      </w:pPr>
    </w:p>
    <w:p w14:paraId="2A92EBAF" w14:textId="233F44D8" w:rsidR="002A767C" w:rsidRDefault="002A767C" w:rsidP="00EE540E">
      <w:pPr>
        <w:pStyle w:val="BodyText"/>
        <w:shd w:val="clear" w:color="auto" w:fill="FFFFFF"/>
        <w:spacing w:line="276" w:lineRule="auto"/>
        <w:jc w:val="left"/>
      </w:pPr>
      <w:r>
        <w:rPr>
          <w:rFonts w:cs="Arial"/>
          <w:bCs/>
        </w:rPr>
        <w:t xml:space="preserve">IMPORTANT SAFETY INFORMATION: </w:t>
      </w:r>
      <w:r>
        <w:t>Accidental exposure may result in skin and eye irritation and may cause gastrointestinal disturbances and hypersensitivity reactions in humans. No withdrawal period is required when used according to the label. Consult your veterinarian for assistance in the diagnosis, treatment and control of parasitism.</w:t>
      </w:r>
    </w:p>
    <w:p w14:paraId="0A9CA655" w14:textId="77777777" w:rsidR="00014E38" w:rsidRDefault="00014E38" w:rsidP="00EE540E">
      <w:pPr>
        <w:pStyle w:val="BodyText"/>
        <w:shd w:val="clear" w:color="auto" w:fill="FFFFFF"/>
        <w:spacing w:line="276" w:lineRule="auto"/>
        <w:jc w:val="left"/>
      </w:pPr>
    </w:p>
    <w:p w14:paraId="0DC12F0A" w14:textId="7390135F" w:rsidR="00014E38" w:rsidRDefault="00014E38" w:rsidP="00EE540E">
      <w:pPr>
        <w:pStyle w:val="BodyText"/>
        <w:shd w:val="clear" w:color="auto" w:fill="FFFFFF"/>
        <w:spacing w:line="276" w:lineRule="auto"/>
        <w:jc w:val="left"/>
      </w:pPr>
      <w:r>
        <w:rPr>
          <w:noProof/>
        </w:rPr>
        <w:lastRenderedPageBreak/>
        <w:drawing>
          <wp:inline distT="0" distB="0" distL="0" distR="0" wp14:anchorId="79441062" wp14:editId="599D4CB6">
            <wp:extent cx="6177503" cy="3840480"/>
            <wp:effectExtent l="0" t="0" r="0" b="0"/>
            <wp:docPr id="212741573" name="Picture 2" descr="A yellow box with a bottle of chicken medic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41573" name="Picture 2" descr="A yellow box with a bottle of chicken medicine&#10;&#10;Description automatically generated"/>
                    <pic:cNvPicPr/>
                  </pic:nvPicPr>
                  <pic:blipFill>
                    <a:blip r:embed="rId14"/>
                    <a:stretch>
                      <a:fillRect/>
                    </a:stretch>
                  </pic:blipFill>
                  <pic:spPr>
                    <a:xfrm>
                      <a:off x="0" y="0"/>
                      <a:ext cx="6177503" cy="3840480"/>
                    </a:xfrm>
                    <a:prstGeom prst="rect">
                      <a:avLst/>
                    </a:prstGeom>
                  </pic:spPr>
                </pic:pic>
              </a:graphicData>
            </a:graphic>
          </wp:inline>
        </w:drawing>
      </w:r>
    </w:p>
    <w:p w14:paraId="4933519D" w14:textId="77777777" w:rsidR="00014E38" w:rsidRDefault="00014E38" w:rsidP="00EE540E">
      <w:pPr>
        <w:pStyle w:val="BodyText"/>
        <w:shd w:val="clear" w:color="auto" w:fill="FFFFFF"/>
        <w:spacing w:line="276" w:lineRule="auto"/>
        <w:jc w:val="left"/>
      </w:pPr>
    </w:p>
    <w:p w14:paraId="4651326A" w14:textId="2C371120" w:rsidR="00014E38" w:rsidRPr="005436A7" w:rsidRDefault="00014E38" w:rsidP="00EE540E">
      <w:pPr>
        <w:pStyle w:val="BodyText"/>
        <w:shd w:val="clear" w:color="auto" w:fill="FFFFFF"/>
        <w:spacing w:line="276" w:lineRule="auto"/>
        <w:jc w:val="left"/>
        <w:rPr>
          <w:rFonts w:cs="Arial"/>
          <w:bCs/>
        </w:rPr>
      </w:pPr>
      <w:r w:rsidRPr="00014E38">
        <w:rPr>
          <w:b/>
          <w:bCs/>
        </w:rPr>
        <w:t>Photo Caption:</w:t>
      </w:r>
      <w:r>
        <w:t xml:space="preserve"> Merck Animal Health </w:t>
      </w:r>
      <w:r w:rsidR="00D6558C">
        <w:t xml:space="preserve">announces </w:t>
      </w:r>
      <w:r w:rsidR="00D6558C">
        <w:rPr>
          <w:rFonts w:cs="Arial"/>
          <w:szCs w:val="22"/>
        </w:rPr>
        <w:t>U.S.</w:t>
      </w:r>
      <w:r>
        <w:rPr>
          <w:rFonts w:cs="Arial"/>
          <w:szCs w:val="22"/>
        </w:rPr>
        <w:t xml:space="preserve"> Food and Drug Administration (FDA) approval of SAFE-GUARD® AQUASOL (fenbendazole oral suspension) for use in backyard chicken flocks, making it the only FDA-approved chicken dewormer designed for home use. </w:t>
      </w:r>
    </w:p>
    <w:bookmarkEnd w:id="1"/>
    <w:p w14:paraId="700786F1" w14:textId="77777777" w:rsidR="006E5190" w:rsidRPr="005436A7" w:rsidRDefault="006E5190" w:rsidP="00BA6BA6">
      <w:pPr>
        <w:pStyle w:val="NormalWeb"/>
        <w:shd w:val="clear" w:color="auto" w:fill="FFFFFF"/>
        <w:spacing w:before="0" w:beforeAutospacing="0" w:after="0" w:line="276" w:lineRule="auto"/>
        <w:rPr>
          <w:rStyle w:val="Strong"/>
          <w:color w:val="auto"/>
          <w:sz w:val="22"/>
          <w:szCs w:val="22"/>
        </w:rPr>
      </w:pPr>
    </w:p>
    <w:p w14:paraId="3C2B049E" w14:textId="3E8ADB30" w:rsidR="00BA6BA6" w:rsidRPr="005436A7" w:rsidRDefault="00BA6BA6" w:rsidP="00BA6BA6">
      <w:pPr>
        <w:pStyle w:val="NormalWeb"/>
        <w:shd w:val="clear" w:color="auto" w:fill="FFFFFF"/>
        <w:spacing w:before="0" w:beforeAutospacing="0" w:after="0" w:line="276" w:lineRule="auto"/>
        <w:rPr>
          <w:rStyle w:val="Strong"/>
          <w:color w:val="auto"/>
          <w:sz w:val="22"/>
          <w:szCs w:val="22"/>
        </w:rPr>
      </w:pPr>
      <w:r w:rsidRPr="005436A7">
        <w:rPr>
          <w:rStyle w:val="Strong"/>
          <w:color w:val="auto"/>
          <w:sz w:val="22"/>
          <w:szCs w:val="22"/>
        </w:rPr>
        <w:t xml:space="preserve">About Merck Animal Health </w:t>
      </w:r>
    </w:p>
    <w:p w14:paraId="5D5EB901" w14:textId="0484994F" w:rsidR="00444D8F" w:rsidRPr="005436A7" w:rsidRDefault="00BA6BA6" w:rsidP="00B063B4">
      <w:pPr>
        <w:pStyle w:val="NormalWeb"/>
        <w:shd w:val="clear" w:color="auto" w:fill="FFFFFF"/>
        <w:spacing w:before="0" w:beforeAutospacing="0" w:after="0" w:line="276" w:lineRule="auto"/>
        <w:ind w:firstLine="720"/>
        <w:rPr>
          <w:rStyle w:val="Hyperlink"/>
          <w:color w:val="00877C"/>
          <w:sz w:val="22"/>
          <w:szCs w:val="22"/>
          <w:u w:val="none"/>
          <w:lang w:val="en"/>
        </w:rPr>
      </w:pPr>
      <w:bookmarkStart w:id="2" w:name="_Hlk95808580"/>
      <w:r w:rsidRPr="005436A7">
        <w:rPr>
          <w:color w:val="auto"/>
          <w:sz w:val="22"/>
          <w:szCs w:val="22"/>
        </w:rPr>
        <w:t xml:space="preserve">At Merck, known as </w:t>
      </w:r>
      <w:proofErr w:type="gramStart"/>
      <w:r w:rsidRPr="005436A7">
        <w:rPr>
          <w:color w:val="auto"/>
          <w:sz w:val="22"/>
          <w:szCs w:val="22"/>
        </w:rPr>
        <w:t>MSD</w:t>
      </w:r>
      <w:proofErr w:type="gramEnd"/>
      <w:r w:rsidRPr="005436A7">
        <w:rPr>
          <w:color w:val="auto"/>
          <w:sz w:val="22"/>
          <w:szCs w:val="22"/>
        </w:rPr>
        <w:t xml:space="preserve"> outside of the United States and Canada, we are unified around our purpose: We use the power of leading-edge science to save and improve lives around the world. For more than a century, we’ve been at the forefront of research, bringing forward medicines, vaccines and innovative health solutions for the world’s most challenging diseases. </w:t>
      </w:r>
      <w:bookmarkEnd w:id="2"/>
      <w:r w:rsidRPr="005436A7">
        <w:rPr>
          <w:color w:val="auto"/>
          <w:sz w:val="22"/>
          <w:szCs w:val="22"/>
        </w:rPr>
        <w:t>Merck Animal Health, a division of Merck &amp; Co., Inc., Rahway, N.J., USA, is the global animal health business of Merck. Through its commitment to The </w:t>
      </w:r>
      <w:r w:rsidRPr="005436A7">
        <w:rPr>
          <w:rStyle w:val="Emphasis"/>
          <w:i w:val="0"/>
          <w:iCs w:val="0"/>
          <w:color w:val="auto"/>
          <w:sz w:val="22"/>
          <w:szCs w:val="22"/>
        </w:rPr>
        <w:t>Science of Healthier</w:t>
      </w:r>
      <w:r w:rsidRPr="005436A7">
        <w:rPr>
          <w:rStyle w:val="Emphasis"/>
          <w:color w:val="auto"/>
          <w:sz w:val="22"/>
          <w:szCs w:val="22"/>
        </w:rPr>
        <w:t xml:space="preserve"> </w:t>
      </w:r>
      <w:r w:rsidRPr="005436A7">
        <w:rPr>
          <w:rStyle w:val="Emphasis"/>
          <w:i w:val="0"/>
          <w:iCs w:val="0"/>
          <w:color w:val="auto"/>
          <w:sz w:val="22"/>
          <w:szCs w:val="22"/>
        </w:rPr>
        <w:t>Animals</w:t>
      </w:r>
      <w:r w:rsidRPr="005436A7">
        <w:rPr>
          <w:rStyle w:val="Emphasis"/>
          <w:i w:val="0"/>
          <w:iCs w:val="0"/>
          <w:color w:val="auto"/>
          <w:sz w:val="22"/>
          <w:szCs w:val="22"/>
          <w:vertAlign w:val="superscript"/>
        </w:rPr>
        <w:t>®</w:t>
      </w:r>
      <w:r w:rsidRPr="005436A7">
        <w:rPr>
          <w:i/>
          <w:iCs/>
          <w:color w:val="auto"/>
          <w:sz w:val="22"/>
          <w:szCs w:val="22"/>
        </w:rPr>
        <w:t>,</w:t>
      </w:r>
      <w:r w:rsidRPr="005436A7">
        <w:rPr>
          <w:color w:val="auto"/>
          <w:sz w:val="22"/>
          <w:szCs w:val="22"/>
        </w:rPr>
        <w:t xml:space="preserve"> </w:t>
      </w:r>
      <w:r w:rsidRPr="005436A7">
        <w:rPr>
          <w:color w:val="auto"/>
          <w:sz w:val="22"/>
          <w:szCs w:val="22"/>
          <w:lang w:val="en"/>
        </w:rPr>
        <w:t xml:space="preserve">Merck Animal Health offers veterinarians, farmers, </w:t>
      </w:r>
      <w:r w:rsidR="006C7C89" w:rsidRPr="005436A7">
        <w:rPr>
          <w:color w:val="auto"/>
          <w:sz w:val="22"/>
          <w:szCs w:val="22"/>
          <w:lang w:val="en"/>
        </w:rPr>
        <w:t xml:space="preserve">producers, </w:t>
      </w:r>
      <w:r w:rsidRPr="005436A7">
        <w:rPr>
          <w:color w:val="auto"/>
          <w:sz w:val="22"/>
          <w:szCs w:val="22"/>
          <w:lang w:val="en"/>
        </w:rPr>
        <w:t>pet owners</w:t>
      </w:r>
      <w:r w:rsidR="006C7C89" w:rsidRPr="005436A7">
        <w:rPr>
          <w:color w:val="auto"/>
          <w:sz w:val="22"/>
          <w:szCs w:val="22"/>
          <w:lang w:val="en"/>
        </w:rPr>
        <w:t xml:space="preserve"> </w:t>
      </w:r>
      <w:r w:rsidRPr="005436A7">
        <w:rPr>
          <w:color w:val="auto"/>
          <w:sz w:val="22"/>
          <w:szCs w:val="22"/>
          <w:lang w:val="en"/>
        </w:rPr>
        <w:t xml:space="preserve">and governments one of the widest ranges of veterinary pharmaceuticals, vaccines and health management solutions and services as well as an extensive suite of connected technology that includes identification, traceability and monitoring products. </w:t>
      </w:r>
      <w:r w:rsidRPr="005436A7">
        <w:rPr>
          <w:color w:val="auto"/>
          <w:sz w:val="22"/>
          <w:szCs w:val="22"/>
        </w:rPr>
        <w:t xml:space="preserve">Merck Animal Health is dedicated to preserving and improving the health, well-being and performance of animals and the people who care for them. It invests extensively in dynamic and comprehensive R&amp;D resources and a modern, global supply chain. Merck Animal Health is present in more than 50 countries, while its products are available in some 150 markets. </w:t>
      </w:r>
      <w:r w:rsidRPr="005436A7">
        <w:rPr>
          <w:color w:val="auto"/>
          <w:sz w:val="22"/>
          <w:szCs w:val="22"/>
          <w:lang w:val="en"/>
        </w:rPr>
        <w:t xml:space="preserve">For more information, visit </w:t>
      </w:r>
      <w:hyperlink r:id="rId15" w:tgtFrame="_blank" w:history="1">
        <w:r w:rsidRPr="005436A7">
          <w:rPr>
            <w:rStyle w:val="underline1"/>
            <w:color w:val="00877C"/>
            <w:sz w:val="22"/>
            <w:szCs w:val="22"/>
            <w:u w:val="none"/>
            <w:lang w:val="en"/>
          </w:rPr>
          <w:t>www.merck-animal-health.com</w:t>
        </w:r>
      </w:hyperlink>
      <w:r w:rsidRPr="005436A7">
        <w:rPr>
          <w:color w:val="37424A"/>
          <w:sz w:val="22"/>
          <w:szCs w:val="22"/>
          <w:lang w:val="en"/>
        </w:rPr>
        <w:t xml:space="preserve"> </w:t>
      </w:r>
      <w:r w:rsidRPr="005436A7">
        <w:rPr>
          <w:color w:val="auto"/>
          <w:sz w:val="22"/>
          <w:szCs w:val="22"/>
          <w:lang w:val="en"/>
        </w:rPr>
        <w:t xml:space="preserve">and connect with us on </w:t>
      </w:r>
      <w:hyperlink r:id="rId16" w:history="1">
        <w:r w:rsidRPr="005436A7">
          <w:rPr>
            <w:rStyle w:val="Hyperlink"/>
            <w:color w:val="00877C"/>
            <w:sz w:val="22"/>
            <w:szCs w:val="22"/>
            <w:lang w:val="en"/>
          </w:rPr>
          <w:t>LinkedIn</w:t>
        </w:r>
      </w:hyperlink>
      <w:r w:rsidRPr="005436A7">
        <w:rPr>
          <w:color w:val="37424A"/>
          <w:sz w:val="22"/>
          <w:szCs w:val="22"/>
          <w:lang w:val="en"/>
        </w:rPr>
        <w:t xml:space="preserve">, </w:t>
      </w:r>
      <w:hyperlink r:id="rId17" w:history="1">
        <w:r w:rsidRPr="005436A7">
          <w:rPr>
            <w:rStyle w:val="Hyperlink"/>
            <w:color w:val="00877C"/>
            <w:sz w:val="22"/>
            <w:szCs w:val="22"/>
            <w:lang w:val="en"/>
          </w:rPr>
          <w:t>Facebook</w:t>
        </w:r>
      </w:hyperlink>
      <w:r w:rsidRPr="005436A7">
        <w:rPr>
          <w:color w:val="00877C"/>
          <w:sz w:val="22"/>
          <w:szCs w:val="22"/>
          <w:lang w:val="en"/>
        </w:rPr>
        <w:t>,</w:t>
      </w:r>
      <w:r w:rsidRPr="005436A7">
        <w:rPr>
          <w:color w:val="37424A"/>
          <w:sz w:val="22"/>
          <w:szCs w:val="22"/>
          <w:lang w:val="en"/>
        </w:rPr>
        <w:t xml:space="preserve"> </w:t>
      </w:r>
      <w:hyperlink r:id="rId18" w:history="1">
        <w:r w:rsidR="00AF2C4F" w:rsidRPr="005436A7">
          <w:rPr>
            <w:rStyle w:val="Hyperlink"/>
            <w:color w:val="00877C"/>
            <w:sz w:val="22"/>
            <w:szCs w:val="22"/>
            <w:lang w:val="en"/>
          </w:rPr>
          <w:t>X (formerly T</w:t>
        </w:r>
        <w:r w:rsidRPr="005436A7">
          <w:rPr>
            <w:rStyle w:val="Hyperlink"/>
            <w:color w:val="00877C"/>
            <w:sz w:val="22"/>
            <w:szCs w:val="22"/>
            <w:lang w:val="en"/>
          </w:rPr>
          <w:t>witter</w:t>
        </w:r>
      </w:hyperlink>
      <w:r w:rsidR="00AF2C4F" w:rsidRPr="005436A7">
        <w:rPr>
          <w:rStyle w:val="Hyperlink"/>
          <w:color w:val="00877C"/>
          <w:sz w:val="22"/>
          <w:szCs w:val="22"/>
          <w:u w:val="none"/>
          <w:lang w:val="en"/>
        </w:rPr>
        <w:t>)</w:t>
      </w:r>
      <w:r w:rsidRPr="005436A7">
        <w:rPr>
          <w:color w:val="auto"/>
          <w:sz w:val="22"/>
          <w:szCs w:val="22"/>
          <w:lang w:val="en"/>
        </w:rPr>
        <w:t xml:space="preserve"> and </w:t>
      </w:r>
      <w:hyperlink r:id="rId19" w:history="1">
        <w:r w:rsidRPr="005436A7">
          <w:rPr>
            <w:rStyle w:val="Hyperlink"/>
            <w:color w:val="00877C"/>
            <w:sz w:val="22"/>
            <w:szCs w:val="22"/>
            <w:lang w:val="en"/>
          </w:rPr>
          <w:t>Instagram</w:t>
        </w:r>
      </w:hyperlink>
      <w:r w:rsidRPr="005436A7">
        <w:rPr>
          <w:rStyle w:val="Hyperlink"/>
          <w:color w:val="00877C"/>
          <w:sz w:val="22"/>
          <w:szCs w:val="22"/>
          <w:u w:val="none"/>
          <w:lang w:val="en"/>
        </w:rPr>
        <w:t xml:space="preserve">. </w:t>
      </w:r>
    </w:p>
    <w:p w14:paraId="030435BC" w14:textId="77777777" w:rsidR="001D01BE" w:rsidRPr="005436A7" w:rsidRDefault="001D01BE" w:rsidP="001D01BE">
      <w:pPr>
        <w:pStyle w:val="NormalWeb"/>
        <w:shd w:val="clear" w:color="auto" w:fill="FFFFFF"/>
        <w:spacing w:before="0" w:beforeAutospacing="0" w:after="0" w:line="276" w:lineRule="auto"/>
        <w:rPr>
          <w:rStyle w:val="Hyperlink"/>
          <w:color w:val="00877C"/>
          <w:sz w:val="22"/>
          <w:szCs w:val="22"/>
          <w:u w:val="none"/>
          <w:lang w:val="en"/>
        </w:rPr>
      </w:pPr>
    </w:p>
    <w:p w14:paraId="26AFF08E" w14:textId="77777777" w:rsidR="006670F5" w:rsidRDefault="006670F5" w:rsidP="009A4B1B">
      <w:pPr>
        <w:pStyle w:val="NormalWeb"/>
        <w:spacing w:before="0" w:beforeAutospacing="0" w:after="0" w:line="276" w:lineRule="auto"/>
        <w:rPr>
          <w:b/>
          <w:bCs/>
          <w:color w:val="auto"/>
          <w:sz w:val="22"/>
          <w:szCs w:val="22"/>
        </w:rPr>
      </w:pPr>
    </w:p>
    <w:p w14:paraId="62B6158F" w14:textId="3C6C6D75" w:rsidR="009A4B1B" w:rsidRPr="005436A7" w:rsidRDefault="009A4B1B" w:rsidP="009A4B1B">
      <w:pPr>
        <w:pStyle w:val="NormalWeb"/>
        <w:spacing w:before="0" w:beforeAutospacing="0" w:after="0" w:line="276" w:lineRule="auto"/>
        <w:rPr>
          <w:b/>
          <w:bCs/>
          <w:color w:val="auto"/>
          <w:sz w:val="22"/>
          <w:szCs w:val="22"/>
        </w:rPr>
      </w:pPr>
      <w:r w:rsidRPr="005436A7">
        <w:rPr>
          <w:b/>
          <w:bCs/>
          <w:color w:val="auto"/>
          <w:sz w:val="22"/>
          <w:szCs w:val="22"/>
        </w:rPr>
        <w:lastRenderedPageBreak/>
        <w:t>Forward-Looking Statement of Merck &amp; Co., Inc., Rahway, N.J., USA</w:t>
      </w:r>
    </w:p>
    <w:p w14:paraId="2C128055" w14:textId="77777777" w:rsidR="009A4B1B" w:rsidRPr="005436A7" w:rsidRDefault="009A4B1B" w:rsidP="009A4B1B">
      <w:pPr>
        <w:spacing w:after="240" w:line="276" w:lineRule="auto"/>
        <w:rPr>
          <w:rFonts w:ascii="Arial" w:hAnsi="Arial" w:cs="Arial"/>
          <w:sz w:val="22"/>
          <w:szCs w:val="22"/>
        </w:rPr>
      </w:pPr>
      <w:r w:rsidRPr="005436A7">
        <w:rPr>
          <w:rFonts w:ascii="Arial" w:hAnsi="Arial" w:cs="Arial"/>
          <w:sz w:val="22"/>
          <w:szCs w:val="22"/>
        </w:rPr>
        <w:tab/>
        <w:t xml:space="preserve">This news release </w:t>
      </w:r>
      <w:r w:rsidRPr="005436A7">
        <w:rPr>
          <w:rFonts w:ascii="Arial" w:hAnsi="Arial" w:cs="Arial"/>
          <w:bCs/>
          <w:sz w:val="22"/>
          <w:szCs w:val="22"/>
        </w:rPr>
        <w:t>of Merck &amp; Co., Inc., Rahway, N.J., USA</w:t>
      </w:r>
      <w:r w:rsidRPr="005436A7">
        <w:rPr>
          <w:rFonts w:ascii="Arial" w:hAnsi="Arial" w:cs="Arial"/>
          <w:sz w:val="22"/>
          <w:szCs w:val="22"/>
        </w:rPr>
        <w:t xml:space="preserve"> (the “company”) includes “forward-looking statements” within the meaning of the safe harbor provisions of the U.S. Private Securities Litigation Reform Act of 1995. These statements are based upon the current beliefs and expectations of the company’s management and are subject to significant risks and uncertainties. </w:t>
      </w:r>
      <w:r w:rsidRPr="005436A7">
        <w:rPr>
          <w:rFonts w:ascii="Arial" w:hAnsi="Arial" w:cs="Arial"/>
          <w:bCs/>
          <w:sz w:val="22"/>
          <w:szCs w:val="22"/>
        </w:rPr>
        <w:t>There can be no guarantees with respect to pipeline candidates that the candidates will receive the necessary regulatory approvals or that they will prove to be commercially successful.</w:t>
      </w:r>
      <w:r w:rsidRPr="005436A7">
        <w:rPr>
          <w:rFonts w:ascii="Arial" w:hAnsi="Arial" w:cs="Arial"/>
          <w:sz w:val="22"/>
          <w:szCs w:val="22"/>
        </w:rPr>
        <w:t xml:space="preserve"> If underlying assumptions prove inaccurate or risks or uncertainties materialize, actual results may differ materially from those set forth in the forward-looking statements.</w:t>
      </w:r>
    </w:p>
    <w:p w14:paraId="5CD21285" w14:textId="77777777" w:rsidR="009A4B1B" w:rsidRPr="005436A7" w:rsidRDefault="009A4B1B" w:rsidP="009A4B1B">
      <w:pPr>
        <w:spacing w:after="240" w:line="276" w:lineRule="auto"/>
        <w:rPr>
          <w:rFonts w:ascii="Arial" w:hAnsi="Arial" w:cs="Arial"/>
          <w:sz w:val="22"/>
          <w:szCs w:val="22"/>
        </w:rPr>
      </w:pPr>
      <w:r w:rsidRPr="005436A7">
        <w:rPr>
          <w:rFonts w:ascii="Arial" w:hAnsi="Arial" w:cs="Arial"/>
          <w:sz w:val="22"/>
          <w:szCs w:val="22"/>
        </w:rPr>
        <w:tab/>
        <w:t>Risks and uncertainties include but are not limited to, general industry conditions and competition; general economic factors, including interest rate and currency exchange rate fluctuations; the impact of pharmaceutical industry regulation and health care legislation in the United States and internationally; global trends toward health care cost containment; technological advances, new products and patents attained by competitors; challenges inherent in new product development, including obtaining regulatory approval; the company’s ability to accurately predict future market conditions; manufacturing difficulties or delays; financial instability of international economies and sovereign risk; dependence on the effectiveness of the company’s patents and other protections for innovative products; and the exposure to litigation, including patent litigation, and/or regulatory actions.</w:t>
      </w:r>
    </w:p>
    <w:p w14:paraId="021D69C3" w14:textId="77777777" w:rsidR="009A4B1B" w:rsidRPr="005436A7" w:rsidRDefault="009A4B1B" w:rsidP="009A4B1B">
      <w:pPr>
        <w:spacing w:line="276" w:lineRule="auto"/>
        <w:rPr>
          <w:rFonts w:ascii="Arial" w:hAnsi="Arial" w:cs="Arial"/>
          <w:sz w:val="22"/>
          <w:szCs w:val="22"/>
        </w:rPr>
      </w:pPr>
      <w:r w:rsidRPr="005436A7">
        <w:rPr>
          <w:rFonts w:ascii="Arial" w:hAnsi="Arial" w:cs="Arial"/>
          <w:sz w:val="22"/>
          <w:szCs w:val="22"/>
        </w:rPr>
        <w:tab/>
        <w:t xml:space="preserve">The company undertakes no obligation to publicly update any forward-looking statement, whether as a result of new information, future events or otherwise. Additional factors that could cause results to differ materially from those described in the forward-looking statements can be </w:t>
      </w:r>
      <w:r w:rsidRPr="005436A7">
        <w:rPr>
          <w:rFonts w:ascii="Arial" w:hAnsi="Arial" w:cs="Arial"/>
          <w:color w:val="000000"/>
          <w:sz w:val="22"/>
          <w:szCs w:val="22"/>
        </w:rPr>
        <w:t>found in the company’s Annual Report on Form 10-K for the year ended December 31, 2023 and the company’s other filings with the Securities and Exchange Commission (SEC) available at the SEC’s Internet site (</w:t>
      </w:r>
      <w:hyperlink r:id="rId20" w:history="1">
        <w:r w:rsidRPr="005436A7">
          <w:rPr>
            <w:rStyle w:val="Hyperlink"/>
            <w:rFonts w:ascii="Arial" w:hAnsi="Arial" w:cs="Arial"/>
            <w:color w:val="01877C"/>
            <w:sz w:val="22"/>
            <w:szCs w:val="22"/>
          </w:rPr>
          <w:t>www.sec.gov</w:t>
        </w:r>
      </w:hyperlink>
      <w:r w:rsidRPr="005436A7">
        <w:rPr>
          <w:rFonts w:ascii="Arial" w:hAnsi="Arial" w:cs="Arial"/>
          <w:color w:val="000000"/>
          <w:sz w:val="22"/>
          <w:szCs w:val="22"/>
        </w:rPr>
        <w:t>).</w:t>
      </w:r>
    </w:p>
    <w:p w14:paraId="3D6F1177" w14:textId="77777777" w:rsidR="009A4B1B" w:rsidRPr="005436A7" w:rsidRDefault="009A4B1B" w:rsidP="009A4B1B">
      <w:pPr>
        <w:autoSpaceDE w:val="0"/>
        <w:autoSpaceDN w:val="0"/>
        <w:adjustRightInd w:val="0"/>
        <w:spacing w:line="276" w:lineRule="auto"/>
        <w:jc w:val="center"/>
        <w:rPr>
          <w:rFonts w:ascii="Arial" w:hAnsi="Arial" w:cs="Arial"/>
          <w:color w:val="000000"/>
          <w:sz w:val="22"/>
          <w:szCs w:val="22"/>
        </w:rPr>
      </w:pPr>
      <w:r w:rsidRPr="005436A7">
        <w:rPr>
          <w:rFonts w:ascii="Arial" w:hAnsi="Arial" w:cs="Arial"/>
          <w:color w:val="000000"/>
          <w:sz w:val="22"/>
          <w:szCs w:val="22"/>
        </w:rPr>
        <w:t>###</w:t>
      </w:r>
    </w:p>
    <w:p w14:paraId="689FFD68" w14:textId="4800E97E" w:rsidR="00BA6BA6" w:rsidRPr="005436A7" w:rsidRDefault="00885076" w:rsidP="009A4B1B">
      <w:pPr>
        <w:spacing w:line="276" w:lineRule="auto"/>
        <w:rPr>
          <w:rFonts w:ascii="Arial" w:hAnsi="Arial" w:cs="Arial"/>
          <w:b/>
          <w:sz w:val="20"/>
        </w:rPr>
      </w:pPr>
      <w:r w:rsidRPr="005436A7">
        <w:rPr>
          <w:rFonts w:ascii="Arial" w:hAnsi="Arial" w:cs="Arial"/>
          <w:color w:val="000000"/>
          <w:sz w:val="22"/>
          <w:szCs w:val="22"/>
        </w:rPr>
        <w:tab/>
      </w:r>
      <w:r w:rsidRPr="005436A7">
        <w:rPr>
          <w:rFonts w:ascii="Arial" w:hAnsi="Arial" w:cs="Arial"/>
          <w:color w:val="000000"/>
          <w:sz w:val="22"/>
          <w:szCs w:val="22"/>
        </w:rPr>
        <w:tab/>
      </w:r>
      <w:r w:rsidRPr="005436A7">
        <w:rPr>
          <w:rFonts w:ascii="Arial" w:hAnsi="Arial" w:cs="Arial"/>
          <w:color w:val="000000"/>
          <w:sz w:val="22"/>
          <w:szCs w:val="22"/>
        </w:rPr>
        <w:tab/>
      </w:r>
      <w:r w:rsidRPr="005436A7">
        <w:rPr>
          <w:rFonts w:ascii="Arial" w:hAnsi="Arial" w:cs="Arial"/>
          <w:color w:val="000000"/>
          <w:sz w:val="22"/>
          <w:szCs w:val="22"/>
        </w:rPr>
        <w:tab/>
      </w:r>
      <w:r w:rsidRPr="005436A7">
        <w:rPr>
          <w:rFonts w:ascii="Arial" w:hAnsi="Arial" w:cs="Arial"/>
          <w:color w:val="000000"/>
          <w:sz w:val="22"/>
          <w:szCs w:val="22"/>
        </w:rPr>
        <w:tab/>
      </w:r>
      <w:r w:rsidRPr="005436A7">
        <w:rPr>
          <w:rFonts w:ascii="Arial" w:hAnsi="Arial" w:cs="Arial"/>
          <w:color w:val="000000"/>
          <w:sz w:val="22"/>
          <w:szCs w:val="22"/>
        </w:rPr>
        <w:tab/>
      </w:r>
      <w:bookmarkStart w:id="3" w:name="_DV_M57"/>
      <w:bookmarkStart w:id="4" w:name="_DV_M59"/>
      <w:bookmarkEnd w:id="3"/>
      <w:bookmarkEnd w:id="4"/>
    </w:p>
    <w:p w14:paraId="5CC95ADE" w14:textId="77777777" w:rsidR="00885076" w:rsidRPr="005436A7" w:rsidRDefault="00885076" w:rsidP="00885076">
      <w:pPr>
        <w:pBdr>
          <w:bottom w:val="thinThickThinMediumGap" w:sz="18" w:space="1" w:color="auto"/>
        </w:pBdr>
        <w:spacing w:line="276" w:lineRule="auto"/>
        <w:rPr>
          <w:rFonts w:ascii="Arial" w:hAnsi="Arial" w:cs="Arial"/>
          <w:sz w:val="22"/>
          <w:szCs w:val="22"/>
        </w:rPr>
      </w:pPr>
    </w:p>
    <w:p w14:paraId="33AFD98E" w14:textId="77777777" w:rsidR="00885076" w:rsidRPr="005436A7" w:rsidRDefault="00885076" w:rsidP="00BA6BA6">
      <w:pPr>
        <w:tabs>
          <w:tab w:val="left" w:pos="720"/>
          <w:tab w:val="right" w:pos="8550"/>
        </w:tabs>
        <w:rPr>
          <w:rFonts w:ascii="Arial" w:hAnsi="Arial" w:cs="Arial"/>
          <w:b/>
          <w:sz w:val="20"/>
        </w:rPr>
      </w:pPr>
    </w:p>
    <w:p w14:paraId="7C39ED6E" w14:textId="77777777" w:rsidR="00BA6BA6" w:rsidRPr="005436A7" w:rsidRDefault="00BA6BA6" w:rsidP="00BA6BA6">
      <w:pPr>
        <w:tabs>
          <w:tab w:val="left" w:pos="720"/>
          <w:tab w:val="right" w:pos="8550"/>
        </w:tabs>
        <w:rPr>
          <w:rFonts w:ascii="Arial" w:hAnsi="Arial" w:cs="Arial"/>
          <w:b/>
          <w:sz w:val="20"/>
        </w:rPr>
      </w:pPr>
    </w:p>
    <w:tbl>
      <w:tblPr>
        <w:tblW w:w="9738" w:type="dxa"/>
        <w:tblLayout w:type="fixed"/>
        <w:tblLook w:val="0000" w:firstRow="0" w:lastRow="0" w:firstColumn="0" w:lastColumn="0" w:noHBand="0" w:noVBand="0"/>
      </w:tblPr>
      <w:tblGrid>
        <w:gridCol w:w="2088"/>
        <w:gridCol w:w="2790"/>
        <w:gridCol w:w="702"/>
        <w:gridCol w:w="1548"/>
        <w:gridCol w:w="2610"/>
      </w:tblGrid>
      <w:tr w:rsidR="00BA6BA6" w:rsidRPr="005436A7" w14:paraId="31C2274A" w14:textId="77777777" w:rsidTr="00B93A62">
        <w:tc>
          <w:tcPr>
            <w:tcW w:w="2088" w:type="dxa"/>
          </w:tcPr>
          <w:p w14:paraId="555694CA" w14:textId="41EA5E61" w:rsidR="00BA6BA6" w:rsidRPr="005436A7" w:rsidRDefault="00BA6BA6" w:rsidP="00B93A62">
            <w:pPr>
              <w:spacing w:line="240" w:lineRule="atLeast"/>
              <w:rPr>
                <w:rFonts w:ascii="Arial" w:hAnsi="Arial" w:cs="Arial"/>
                <w:sz w:val="22"/>
              </w:rPr>
            </w:pPr>
            <w:r w:rsidRPr="005436A7">
              <w:rPr>
                <w:rFonts w:ascii="Arial" w:hAnsi="Arial" w:cs="Arial"/>
                <w:sz w:val="22"/>
              </w:rPr>
              <w:t>Media Contact:</w:t>
            </w:r>
          </w:p>
        </w:tc>
        <w:tc>
          <w:tcPr>
            <w:tcW w:w="2790" w:type="dxa"/>
          </w:tcPr>
          <w:p w14:paraId="7596DEB9" w14:textId="49C1D811" w:rsidR="00BA6BA6" w:rsidRPr="005436A7" w:rsidRDefault="00B063B4" w:rsidP="00B93A62">
            <w:pPr>
              <w:spacing w:line="240" w:lineRule="atLeast"/>
              <w:rPr>
                <w:rFonts w:ascii="Arial" w:hAnsi="Arial" w:cs="Arial"/>
                <w:sz w:val="22"/>
              </w:rPr>
            </w:pPr>
            <w:r w:rsidRPr="005436A7">
              <w:rPr>
                <w:rFonts w:ascii="Arial" w:hAnsi="Arial" w:cs="Arial"/>
                <w:sz w:val="22"/>
              </w:rPr>
              <w:t xml:space="preserve">Kathleen Cuddy </w:t>
            </w:r>
          </w:p>
        </w:tc>
        <w:tc>
          <w:tcPr>
            <w:tcW w:w="2250" w:type="dxa"/>
            <w:gridSpan w:val="2"/>
          </w:tcPr>
          <w:p w14:paraId="37EB5B24" w14:textId="5D28638F" w:rsidR="00BA6BA6" w:rsidRPr="005436A7" w:rsidRDefault="00BA6BA6" w:rsidP="00B93A62">
            <w:pPr>
              <w:spacing w:line="240" w:lineRule="atLeast"/>
              <w:ind w:right="-138"/>
              <w:rPr>
                <w:rFonts w:ascii="Arial" w:hAnsi="Arial" w:cs="Arial"/>
                <w:sz w:val="22"/>
              </w:rPr>
            </w:pPr>
          </w:p>
        </w:tc>
        <w:tc>
          <w:tcPr>
            <w:tcW w:w="2610" w:type="dxa"/>
          </w:tcPr>
          <w:p w14:paraId="5B143856" w14:textId="70AAA27C" w:rsidR="00BA6BA6" w:rsidRPr="005436A7" w:rsidRDefault="00BA6BA6" w:rsidP="00B93A62">
            <w:pPr>
              <w:spacing w:line="240" w:lineRule="atLeast"/>
              <w:rPr>
                <w:rFonts w:ascii="Arial" w:hAnsi="Arial" w:cs="Arial"/>
                <w:sz w:val="22"/>
              </w:rPr>
            </w:pPr>
          </w:p>
        </w:tc>
      </w:tr>
      <w:tr w:rsidR="00BA6BA6" w:rsidRPr="005436A7" w14:paraId="36AC8904" w14:textId="77777777" w:rsidTr="00B063B4">
        <w:trPr>
          <w:trHeight w:val="288"/>
        </w:trPr>
        <w:tc>
          <w:tcPr>
            <w:tcW w:w="2088" w:type="dxa"/>
          </w:tcPr>
          <w:p w14:paraId="006A18E1" w14:textId="77777777" w:rsidR="00BA6BA6" w:rsidRPr="005436A7" w:rsidRDefault="00BA6BA6" w:rsidP="00B93A62">
            <w:pPr>
              <w:spacing w:line="240" w:lineRule="atLeast"/>
              <w:rPr>
                <w:rFonts w:ascii="Arial" w:hAnsi="Arial" w:cs="Arial"/>
                <w:sz w:val="22"/>
              </w:rPr>
            </w:pPr>
          </w:p>
        </w:tc>
        <w:tc>
          <w:tcPr>
            <w:tcW w:w="3492" w:type="dxa"/>
            <w:gridSpan w:val="2"/>
          </w:tcPr>
          <w:p w14:paraId="01491ECC" w14:textId="31E44F29" w:rsidR="00BA6BA6" w:rsidRPr="005436A7" w:rsidRDefault="00BA6BA6" w:rsidP="00B93A62">
            <w:pPr>
              <w:spacing w:line="240" w:lineRule="atLeast"/>
              <w:rPr>
                <w:rFonts w:ascii="Arial" w:hAnsi="Arial" w:cs="Arial"/>
                <w:sz w:val="22"/>
              </w:rPr>
            </w:pPr>
            <w:r w:rsidRPr="005436A7">
              <w:rPr>
                <w:rFonts w:ascii="Arial" w:hAnsi="Arial" w:cs="Arial"/>
                <w:sz w:val="22"/>
              </w:rPr>
              <w:t>(</w:t>
            </w:r>
            <w:r w:rsidR="00B063B4" w:rsidRPr="005436A7">
              <w:rPr>
                <w:rFonts w:ascii="Arial" w:hAnsi="Arial" w:cs="Arial"/>
                <w:sz w:val="22"/>
              </w:rPr>
              <w:t>816</w:t>
            </w:r>
            <w:r w:rsidRPr="005436A7">
              <w:rPr>
                <w:rFonts w:ascii="Arial" w:hAnsi="Arial" w:cs="Arial"/>
                <w:sz w:val="22"/>
              </w:rPr>
              <w:t xml:space="preserve">) </w:t>
            </w:r>
            <w:r w:rsidR="00B063B4" w:rsidRPr="005436A7">
              <w:rPr>
                <w:rFonts w:ascii="Arial" w:hAnsi="Arial" w:cs="Arial"/>
                <w:sz w:val="22"/>
              </w:rPr>
              <w:t>301-8253</w:t>
            </w:r>
          </w:p>
          <w:p w14:paraId="6D2F2E48" w14:textId="0FABBA26" w:rsidR="00BA6BA6" w:rsidRPr="005436A7" w:rsidRDefault="00BB2494" w:rsidP="00B93A62">
            <w:pPr>
              <w:spacing w:line="240" w:lineRule="atLeast"/>
              <w:rPr>
                <w:rFonts w:ascii="Arial" w:hAnsi="Arial" w:cs="Arial"/>
                <w:color w:val="00877C"/>
                <w:sz w:val="22"/>
              </w:rPr>
            </w:pPr>
            <w:hyperlink r:id="rId21" w:history="1">
              <w:r w:rsidR="00B063B4" w:rsidRPr="005436A7">
                <w:rPr>
                  <w:rStyle w:val="Hyperlink"/>
                  <w:rFonts w:ascii="Arial" w:hAnsi="Arial" w:cs="Arial"/>
                  <w:color w:val="00877C"/>
                  <w:sz w:val="22"/>
                </w:rPr>
                <w:t>kathleen.cuddy@merck.com</w:t>
              </w:r>
            </w:hyperlink>
            <w:r w:rsidR="00B063B4" w:rsidRPr="005436A7">
              <w:rPr>
                <w:rFonts w:ascii="Arial" w:hAnsi="Arial" w:cs="Arial"/>
                <w:color w:val="00877C"/>
                <w:sz w:val="22"/>
              </w:rPr>
              <w:t xml:space="preserve"> </w:t>
            </w:r>
          </w:p>
          <w:p w14:paraId="1BF940F9" w14:textId="046E500F" w:rsidR="00BA6BA6" w:rsidRPr="005436A7" w:rsidRDefault="00BA6BA6" w:rsidP="00B93A62">
            <w:pPr>
              <w:spacing w:line="240" w:lineRule="atLeast"/>
              <w:rPr>
                <w:rFonts w:ascii="Arial" w:hAnsi="Arial" w:cs="Arial"/>
                <w:sz w:val="22"/>
              </w:rPr>
            </w:pPr>
          </w:p>
        </w:tc>
        <w:tc>
          <w:tcPr>
            <w:tcW w:w="1548" w:type="dxa"/>
          </w:tcPr>
          <w:p w14:paraId="443E4CB3" w14:textId="77777777" w:rsidR="00BA6BA6" w:rsidRPr="005436A7" w:rsidRDefault="00BA6BA6" w:rsidP="00B93A62">
            <w:pPr>
              <w:pStyle w:val="EndnoteText"/>
              <w:spacing w:line="240" w:lineRule="atLeast"/>
              <w:rPr>
                <w:rFonts w:ascii="Arial" w:hAnsi="Arial" w:cs="Arial"/>
                <w:sz w:val="22"/>
              </w:rPr>
            </w:pPr>
          </w:p>
        </w:tc>
        <w:tc>
          <w:tcPr>
            <w:tcW w:w="2610" w:type="dxa"/>
          </w:tcPr>
          <w:p w14:paraId="6CC0ACA8" w14:textId="5A106472" w:rsidR="00BA6BA6" w:rsidRPr="005436A7" w:rsidRDefault="00BA6BA6" w:rsidP="00B93A62">
            <w:pPr>
              <w:spacing w:line="240" w:lineRule="atLeast"/>
              <w:rPr>
                <w:rFonts w:ascii="Arial" w:hAnsi="Arial" w:cs="Arial"/>
                <w:sz w:val="22"/>
              </w:rPr>
            </w:pPr>
          </w:p>
        </w:tc>
      </w:tr>
    </w:tbl>
    <w:p w14:paraId="14112C28" w14:textId="77777777" w:rsidR="00BA6BA6" w:rsidRPr="005436A7" w:rsidRDefault="00BA6BA6" w:rsidP="00BA6BA6">
      <w:pPr>
        <w:tabs>
          <w:tab w:val="left" w:pos="720"/>
          <w:tab w:val="right" w:pos="8550"/>
        </w:tabs>
        <w:spacing w:line="276" w:lineRule="auto"/>
        <w:rPr>
          <w:rFonts w:ascii="Arial" w:hAnsi="Arial" w:cs="Arial"/>
          <w:b/>
          <w:sz w:val="20"/>
        </w:rPr>
      </w:pPr>
    </w:p>
    <w:p w14:paraId="71D7BBDE" w14:textId="77777777" w:rsidR="00891B41" w:rsidRPr="005436A7" w:rsidRDefault="00891B41" w:rsidP="00BA6BA6">
      <w:pPr>
        <w:tabs>
          <w:tab w:val="left" w:pos="720"/>
          <w:tab w:val="right" w:pos="8550"/>
        </w:tabs>
        <w:rPr>
          <w:rFonts w:ascii="Arial" w:hAnsi="Arial" w:cs="Arial"/>
          <w:sz w:val="20"/>
          <w:szCs w:val="20"/>
        </w:rPr>
      </w:pPr>
    </w:p>
    <w:sectPr w:rsidR="00891B41" w:rsidRPr="005436A7" w:rsidSect="00C10928">
      <w:headerReference w:type="even" r:id="rId22"/>
      <w:headerReference w:type="default" r:id="rId23"/>
      <w:footerReference w:type="default" r:id="rId24"/>
      <w:headerReference w:type="first" r:id="rId25"/>
      <w:pgSz w:w="12240" w:h="15840" w:code="1"/>
      <w:pgMar w:top="1440" w:right="1440" w:bottom="1440" w:left="1440" w:header="720" w:footer="720" w:gutter="0"/>
      <w:pgNumType w:fmt="numberInDash"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C1B7" w14:textId="77777777" w:rsidR="005A224F" w:rsidRDefault="005A224F">
      <w:r>
        <w:separator/>
      </w:r>
    </w:p>
  </w:endnote>
  <w:endnote w:type="continuationSeparator" w:id="0">
    <w:p w14:paraId="76164536" w14:textId="77777777" w:rsidR="005A224F" w:rsidRDefault="005A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DBDD1" w14:textId="77777777" w:rsidR="00891B41" w:rsidRDefault="00891B41">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A8A1B" w14:textId="77777777" w:rsidR="005A224F" w:rsidRDefault="005A224F">
      <w:r>
        <w:separator/>
      </w:r>
    </w:p>
  </w:footnote>
  <w:footnote w:type="continuationSeparator" w:id="0">
    <w:p w14:paraId="1598B43E" w14:textId="77777777" w:rsidR="005A224F" w:rsidRDefault="005A2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A21F2" w14:textId="77777777" w:rsidR="00891B41" w:rsidRDefault="00891B4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4452B77" w14:textId="77777777" w:rsidR="00891B41" w:rsidRDefault="00891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C4907" w14:textId="72E2FD82" w:rsidR="00891B41" w:rsidRDefault="00891B4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177F">
      <w:rPr>
        <w:rStyle w:val="PageNumber"/>
        <w:noProof/>
      </w:rPr>
      <w:t>2</w:t>
    </w:r>
    <w:r>
      <w:rPr>
        <w:rStyle w:val="PageNumber"/>
      </w:rPr>
      <w:fldChar w:fldCharType="end"/>
    </w:r>
  </w:p>
  <w:p w14:paraId="00FA6697" w14:textId="09244AF5" w:rsidR="00891B41" w:rsidRDefault="00BD0693">
    <w:pPr>
      <w:pStyle w:val="Header"/>
      <w:jc w:val="right"/>
      <w:rPr>
        <w:rFonts w:ascii="Arial" w:hAnsi="Arial" w:cs="Arial"/>
        <w:sz w:val="16"/>
        <w:szCs w:val="16"/>
      </w:rPr>
    </w:pPr>
    <w:r>
      <w:rPr>
        <w:noProof/>
      </w:rPr>
      <mc:AlternateContent>
        <mc:Choice Requires="wps">
          <w:drawing>
            <wp:anchor distT="0" distB="0" distL="114300" distR="114300" simplePos="0" relativeHeight="251657216" behindDoc="0" locked="0" layoutInCell="0" allowOverlap="1" wp14:anchorId="0FCA4A9D" wp14:editId="784360C8">
              <wp:simplePos x="0" y="0"/>
              <wp:positionH relativeFrom="page">
                <wp:posOffset>6637020</wp:posOffset>
              </wp:positionH>
              <wp:positionV relativeFrom="page">
                <wp:posOffset>701040</wp:posOffset>
              </wp:positionV>
              <wp:extent cx="4892040" cy="220345"/>
              <wp:effectExtent l="0" t="0" r="0" b="8255"/>
              <wp:wrapNone/>
              <wp:docPr id="2" name="MSIPCM8359435e8a07349d9e115639" descr="{&quot;HashCode&quot;:1468442394,&quot;Height&quot;:792.0,&quot;Width&quot;:612.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E2E43" w14:textId="3AED369A" w:rsidR="00696103" w:rsidRPr="00696103" w:rsidRDefault="00696103" w:rsidP="00696103">
                          <w:pPr>
                            <w:rPr>
                              <w:rFonts w:ascii="Calibri" w:hAnsi="Calibri" w:cs="Calibri"/>
                              <w:color w:val="00B294"/>
                            </w:rPr>
                          </w:pP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CA4A9D" id="_x0000_t202" coordsize="21600,21600" o:spt="202" path="m,l,21600r21600,l21600,xe">
              <v:stroke joinstyle="miter"/>
              <v:path gradientshapeok="t" o:connecttype="rect"/>
            </v:shapetype>
            <v:shape id="MSIPCM8359435e8a07349d9e115639" o:spid="_x0000_s1026" type="#_x0000_t202" alt="{&quot;HashCode&quot;:1468442394,&quot;Height&quot;:792.0,&quot;Width&quot;:612.0,&quot;Placement&quot;:&quot;Header&quot;,&quot;Index&quot;:&quot;Primary&quot;,&quot;Section&quot;:1,&quot;Top&quot;:0.0,&quot;Left&quot;:0.0}" style="position:absolute;left:0;text-align:left;margin-left:522.6pt;margin-top:55.2pt;width:385.2pt;height:17.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" o:allowincell="f" filled="f" stroked="f">
              <v:textbox inset="20pt,0,,0">
                <w:txbxContent>
                  <w:p w14:paraId="4B0E2E43" w14:textId="3AED369A" w:rsidR="00696103" w:rsidRPr="00696103" w:rsidRDefault="00696103" w:rsidP="00696103">
                    <w:pPr>
                      <w:rPr>
                        <w:rFonts w:ascii="Calibri" w:hAnsi="Calibri" w:cs="Calibri"/>
                        <w:color w:val="00B29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DCC46" w14:textId="2C05CC51" w:rsidR="00E960EE" w:rsidRDefault="002B2F0F">
    <w:pPr>
      <w:pStyle w:val="Header"/>
    </w:pPr>
    <w:r>
      <w:rPr>
        <w:noProof/>
      </w:rPr>
      <mc:AlternateContent>
        <mc:Choice Requires="wps">
          <w:drawing>
            <wp:anchor distT="0" distB="0" distL="114300" distR="114300" simplePos="0" relativeHeight="251658240" behindDoc="0" locked="0" layoutInCell="0" allowOverlap="1" wp14:anchorId="5E9D13D1" wp14:editId="7A65BCB8">
              <wp:simplePos x="0" y="0"/>
              <wp:positionH relativeFrom="page">
                <wp:posOffset>0</wp:posOffset>
              </wp:positionH>
              <wp:positionV relativeFrom="page">
                <wp:posOffset>190500</wp:posOffset>
              </wp:positionV>
              <wp:extent cx="7772400" cy="273685"/>
              <wp:effectExtent l="0" t="0" r="0" b="2540"/>
              <wp:wrapNone/>
              <wp:docPr id="1" name="MSIPCM9e8f4ff987b738b23078b69a" descr="{&quot;HashCode&quot;:1468442394,&quot;Height&quot;:792.0,&quot;Width&quot;:612.0,&quot;Placement&quot;:&quot;Head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9CAA4" w14:textId="77777777" w:rsidR="00696103" w:rsidRPr="00696103" w:rsidRDefault="00696103" w:rsidP="00696103">
                          <w:pPr>
                            <w:rPr>
                              <w:rFonts w:ascii="Calibri" w:hAnsi="Calibri" w:cs="Calibri"/>
                              <w:color w:val="00B294"/>
                            </w:rPr>
                          </w:pPr>
                          <w:r w:rsidRPr="00696103">
                            <w:rPr>
                              <w:rFonts w:ascii="Calibri" w:hAnsi="Calibri" w:cs="Calibri"/>
                              <w:color w:val="00B294"/>
                            </w:rPr>
                            <w:t>Proprietary</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9D13D1" id="_x0000_t202" coordsize="21600,21600" o:spt="202" path="m,l,21600r21600,l21600,xe">
              <v:stroke joinstyle="miter"/>
              <v:path gradientshapeok="t" o:connecttype="rect"/>
            </v:shapetype>
            <v:shape id="MSIPCM9e8f4ff987b738b23078b69a" o:spid="_x0000_s1027" type="#_x0000_t202" alt="{&quot;HashCode&quot;:1468442394,&quot;Height&quot;:792.0,&quot;Width&quot;:612.0,&quot;Placement&quot;:&quot;Header&quot;,&quot;Index&quot;:&quot;FirstPage&quot;,&quot;Section&quot;:1,&quot;Top&quot;:0.0,&quot;Left&quot;:0.0}" style="position:absolute;margin-left:0;margin-top:1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" o:allowincell="f" filled="f" stroked="f">
              <v:textbox inset="20pt,0,,0">
                <w:txbxContent>
                  <w:p w14:paraId="12E9CAA4" w14:textId="77777777" w:rsidR="00696103" w:rsidRPr="00696103" w:rsidRDefault="00696103" w:rsidP="00696103">
                    <w:pPr>
                      <w:rPr>
                        <w:rFonts w:ascii="Calibri" w:hAnsi="Calibri" w:cs="Calibri"/>
                        <w:color w:val="00B294"/>
                      </w:rPr>
                    </w:pPr>
                    <w:r w:rsidRPr="00696103">
                      <w:rPr>
                        <w:rFonts w:ascii="Calibri" w:hAnsi="Calibri" w:cs="Calibri"/>
                        <w:color w:val="00B294"/>
                      </w:rPr>
                      <w:t>Proprietary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198E"/>
    <w:multiLevelType w:val="hybridMultilevel"/>
    <w:tmpl w:val="2E4EEA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6A2566"/>
    <w:multiLevelType w:val="hybridMultilevel"/>
    <w:tmpl w:val="0638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2977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F704BD3"/>
    <w:multiLevelType w:val="multilevel"/>
    <w:tmpl w:val="46B63E2A"/>
    <w:lvl w:ilvl="0">
      <w:start w:val="1"/>
      <w:numFmt w:val="bullet"/>
      <w:lvlText w:val="—"/>
      <w:lvlJc w:val="left"/>
      <w:pPr>
        <w:tabs>
          <w:tab w:val="num" w:pos="648"/>
        </w:tabs>
        <w:ind w:left="648" w:hanging="288"/>
      </w:pPr>
      <w:rPr>
        <w:rFonts w:ascii="Courier New" w:hAnsi="Courier New" w:hint="default"/>
        <w:sz w:val="20"/>
      </w:rPr>
    </w:lvl>
    <w:lvl w:ilvl="1">
      <w:start w:val="1"/>
      <w:numFmt w:val="bullet"/>
      <w:lvlText w:val="—"/>
      <w:lvlJc w:val="left"/>
      <w:pPr>
        <w:tabs>
          <w:tab w:val="num" w:pos="1368"/>
        </w:tabs>
        <w:ind w:left="1368" w:hanging="288"/>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641305"/>
    <w:multiLevelType w:val="hybridMultilevel"/>
    <w:tmpl w:val="8F3463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1C6153"/>
    <w:multiLevelType w:val="hybridMultilevel"/>
    <w:tmpl w:val="EA3238FC"/>
    <w:lvl w:ilvl="0" w:tplc="04090001">
      <w:start w:val="1"/>
      <w:numFmt w:val="bullet"/>
      <w:lvlText w:val=""/>
      <w:lvlJc w:val="left"/>
      <w:pPr>
        <w:ind w:left="720" w:hanging="360"/>
      </w:pPr>
      <w:rPr>
        <w:rFonts w:ascii="Symbol" w:hAnsi="Symbol" w:hint="default"/>
      </w:rPr>
    </w:lvl>
    <w:lvl w:ilvl="1" w:tplc="F466ACE4">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00F0409">
      <w:start w:val="1"/>
      <w:numFmt w:val="decimal"/>
      <w:lvlText w:val="%5."/>
      <w:lvlJc w:val="left"/>
      <w:pPr>
        <w:tabs>
          <w:tab w:val="num" w:pos="3600"/>
        </w:tabs>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383D44"/>
    <w:multiLevelType w:val="hybridMultilevel"/>
    <w:tmpl w:val="4030BA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A032CA"/>
    <w:multiLevelType w:val="hybridMultilevel"/>
    <w:tmpl w:val="7960F33A"/>
    <w:lvl w:ilvl="0" w:tplc="C91014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D873B6"/>
    <w:multiLevelType w:val="hybridMultilevel"/>
    <w:tmpl w:val="95DE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9D7819"/>
    <w:multiLevelType w:val="hybridMultilevel"/>
    <w:tmpl w:val="67AA6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6F82DC9"/>
    <w:multiLevelType w:val="multilevel"/>
    <w:tmpl w:val="7960F3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213E07"/>
    <w:multiLevelType w:val="hybridMultilevel"/>
    <w:tmpl w:val="CD06D3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07525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A226AA"/>
    <w:multiLevelType w:val="hybridMultilevel"/>
    <w:tmpl w:val="D8222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626CD8"/>
    <w:multiLevelType w:val="singleLevel"/>
    <w:tmpl w:val="AE58025C"/>
    <w:lvl w:ilvl="0">
      <w:numFmt w:val="bullet"/>
      <w:lvlText w:val="-"/>
      <w:lvlJc w:val="left"/>
      <w:pPr>
        <w:tabs>
          <w:tab w:val="num" w:pos="780"/>
        </w:tabs>
        <w:ind w:left="780" w:hanging="360"/>
      </w:pPr>
      <w:rPr>
        <w:rFonts w:hint="default"/>
      </w:rPr>
    </w:lvl>
  </w:abstractNum>
  <w:num w:numId="1" w16cid:durableId="877277373">
    <w:abstractNumId w:val="7"/>
  </w:num>
  <w:num w:numId="2" w16cid:durableId="239292281">
    <w:abstractNumId w:val="10"/>
  </w:num>
  <w:num w:numId="3" w16cid:durableId="576981379">
    <w:abstractNumId w:val="6"/>
  </w:num>
  <w:num w:numId="4" w16cid:durableId="278152102">
    <w:abstractNumId w:val="4"/>
  </w:num>
  <w:num w:numId="5" w16cid:durableId="2012101217">
    <w:abstractNumId w:val="0"/>
  </w:num>
  <w:num w:numId="6" w16cid:durableId="1496647812">
    <w:abstractNumId w:val="5"/>
  </w:num>
  <w:num w:numId="7" w16cid:durableId="1371957601">
    <w:abstractNumId w:val="11"/>
  </w:num>
  <w:num w:numId="8" w16cid:durableId="247230671">
    <w:abstractNumId w:val="3"/>
  </w:num>
  <w:num w:numId="9" w16cid:durableId="159389766">
    <w:abstractNumId w:val="12"/>
  </w:num>
  <w:num w:numId="10" w16cid:durableId="1503619128">
    <w:abstractNumId w:val="14"/>
  </w:num>
  <w:num w:numId="11" w16cid:durableId="29034013">
    <w:abstractNumId w:val="2"/>
  </w:num>
  <w:num w:numId="12" w16cid:durableId="793905421">
    <w:abstractNumId w:val="1"/>
  </w:num>
  <w:num w:numId="13" w16cid:durableId="1519848516">
    <w:abstractNumId w:val="8"/>
  </w:num>
  <w:num w:numId="14" w16cid:durableId="807095086">
    <w:abstractNumId w:val="9"/>
  </w:num>
  <w:num w:numId="15" w16cid:durableId="4567211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DE"/>
    <w:rsid w:val="00000A6F"/>
    <w:rsid w:val="000122B5"/>
    <w:rsid w:val="00014152"/>
    <w:rsid w:val="00014E38"/>
    <w:rsid w:val="000213AA"/>
    <w:rsid w:val="00021D0B"/>
    <w:rsid w:val="00023E69"/>
    <w:rsid w:val="00026364"/>
    <w:rsid w:val="00031E37"/>
    <w:rsid w:val="000352D6"/>
    <w:rsid w:val="000555D9"/>
    <w:rsid w:val="00064F13"/>
    <w:rsid w:val="0006555C"/>
    <w:rsid w:val="000B23BF"/>
    <w:rsid w:val="000B7984"/>
    <w:rsid w:val="000C61BB"/>
    <w:rsid w:val="000D07FB"/>
    <w:rsid w:val="00102E1C"/>
    <w:rsid w:val="00115987"/>
    <w:rsid w:val="00123B5A"/>
    <w:rsid w:val="00134C69"/>
    <w:rsid w:val="001471E7"/>
    <w:rsid w:val="0015007D"/>
    <w:rsid w:val="0016311E"/>
    <w:rsid w:val="001712AB"/>
    <w:rsid w:val="00172826"/>
    <w:rsid w:val="00172F0D"/>
    <w:rsid w:val="0017751A"/>
    <w:rsid w:val="001C6690"/>
    <w:rsid w:val="001D01BE"/>
    <w:rsid w:val="001D230F"/>
    <w:rsid w:val="001F01CA"/>
    <w:rsid w:val="001F2B0F"/>
    <w:rsid w:val="001F61EB"/>
    <w:rsid w:val="001F7280"/>
    <w:rsid w:val="00200574"/>
    <w:rsid w:val="00203788"/>
    <w:rsid w:val="00214E4F"/>
    <w:rsid w:val="00216101"/>
    <w:rsid w:val="00217030"/>
    <w:rsid w:val="002221CE"/>
    <w:rsid w:val="00225262"/>
    <w:rsid w:val="002344AC"/>
    <w:rsid w:val="002425E5"/>
    <w:rsid w:val="002472DA"/>
    <w:rsid w:val="00253010"/>
    <w:rsid w:val="0026684C"/>
    <w:rsid w:val="002671B8"/>
    <w:rsid w:val="00292027"/>
    <w:rsid w:val="002A2AFE"/>
    <w:rsid w:val="002A53EB"/>
    <w:rsid w:val="002A5E2D"/>
    <w:rsid w:val="002A6644"/>
    <w:rsid w:val="002A767C"/>
    <w:rsid w:val="002B2F0F"/>
    <w:rsid w:val="002C42A7"/>
    <w:rsid w:val="002D18C0"/>
    <w:rsid w:val="002D2D19"/>
    <w:rsid w:val="002D5E62"/>
    <w:rsid w:val="002E2C7E"/>
    <w:rsid w:val="002E5023"/>
    <w:rsid w:val="002F0A98"/>
    <w:rsid w:val="002F6BC3"/>
    <w:rsid w:val="003177B6"/>
    <w:rsid w:val="00317C52"/>
    <w:rsid w:val="003226F4"/>
    <w:rsid w:val="00335F0D"/>
    <w:rsid w:val="00341BF9"/>
    <w:rsid w:val="00345893"/>
    <w:rsid w:val="0037059F"/>
    <w:rsid w:val="00375122"/>
    <w:rsid w:val="00381D7D"/>
    <w:rsid w:val="00385D47"/>
    <w:rsid w:val="003956CC"/>
    <w:rsid w:val="003A53BA"/>
    <w:rsid w:val="003C579B"/>
    <w:rsid w:val="003E33C5"/>
    <w:rsid w:val="003F1760"/>
    <w:rsid w:val="003F3030"/>
    <w:rsid w:val="004036BA"/>
    <w:rsid w:val="004037B0"/>
    <w:rsid w:val="00411B0D"/>
    <w:rsid w:val="00415D1B"/>
    <w:rsid w:val="00426A0B"/>
    <w:rsid w:val="0043177F"/>
    <w:rsid w:val="00434A6F"/>
    <w:rsid w:val="00437EC0"/>
    <w:rsid w:val="00444D8F"/>
    <w:rsid w:val="00457CF2"/>
    <w:rsid w:val="00462220"/>
    <w:rsid w:val="00463033"/>
    <w:rsid w:val="00465477"/>
    <w:rsid w:val="00466095"/>
    <w:rsid w:val="00471E6C"/>
    <w:rsid w:val="0048087B"/>
    <w:rsid w:val="00490599"/>
    <w:rsid w:val="004A0547"/>
    <w:rsid w:val="004B07BE"/>
    <w:rsid w:val="004B0BFA"/>
    <w:rsid w:val="004B3A4C"/>
    <w:rsid w:val="004C2463"/>
    <w:rsid w:val="004C4BC5"/>
    <w:rsid w:val="004E1505"/>
    <w:rsid w:val="004E7F92"/>
    <w:rsid w:val="004F25FD"/>
    <w:rsid w:val="0050440F"/>
    <w:rsid w:val="0050572F"/>
    <w:rsid w:val="005364B4"/>
    <w:rsid w:val="00537330"/>
    <w:rsid w:val="00542974"/>
    <w:rsid w:val="005436A7"/>
    <w:rsid w:val="00546769"/>
    <w:rsid w:val="005673ED"/>
    <w:rsid w:val="005712CD"/>
    <w:rsid w:val="0057153E"/>
    <w:rsid w:val="00584E29"/>
    <w:rsid w:val="00585DF8"/>
    <w:rsid w:val="0059092D"/>
    <w:rsid w:val="0059112D"/>
    <w:rsid w:val="005A224F"/>
    <w:rsid w:val="005A7BE5"/>
    <w:rsid w:val="005C48F1"/>
    <w:rsid w:val="005C66F3"/>
    <w:rsid w:val="005C784A"/>
    <w:rsid w:val="005D7550"/>
    <w:rsid w:val="005E1901"/>
    <w:rsid w:val="005E2B5C"/>
    <w:rsid w:val="0060065B"/>
    <w:rsid w:val="00606F57"/>
    <w:rsid w:val="00635FB4"/>
    <w:rsid w:val="00636843"/>
    <w:rsid w:val="00654413"/>
    <w:rsid w:val="006558D5"/>
    <w:rsid w:val="006578D3"/>
    <w:rsid w:val="00660466"/>
    <w:rsid w:val="00661ED5"/>
    <w:rsid w:val="00662ED3"/>
    <w:rsid w:val="006670F5"/>
    <w:rsid w:val="0067672D"/>
    <w:rsid w:val="0067701C"/>
    <w:rsid w:val="00682EDA"/>
    <w:rsid w:val="006849A9"/>
    <w:rsid w:val="00687CC9"/>
    <w:rsid w:val="00696103"/>
    <w:rsid w:val="00697FEC"/>
    <w:rsid w:val="006A42D5"/>
    <w:rsid w:val="006A7BCF"/>
    <w:rsid w:val="006B401E"/>
    <w:rsid w:val="006B5EBD"/>
    <w:rsid w:val="006C2E18"/>
    <w:rsid w:val="006C7C89"/>
    <w:rsid w:val="006E5190"/>
    <w:rsid w:val="006F4B3F"/>
    <w:rsid w:val="00726102"/>
    <w:rsid w:val="007325CB"/>
    <w:rsid w:val="00734EFE"/>
    <w:rsid w:val="0075758D"/>
    <w:rsid w:val="00761FB8"/>
    <w:rsid w:val="007641AA"/>
    <w:rsid w:val="00764D73"/>
    <w:rsid w:val="00771581"/>
    <w:rsid w:val="0077543F"/>
    <w:rsid w:val="0078272E"/>
    <w:rsid w:val="00790CAB"/>
    <w:rsid w:val="0079189C"/>
    <w:rsid w:val="0079458A"/>
    <w:rsid w:val="007948F8"/>
    <w:rsid w:val="007A2100"/>
    <w:rsid w:val="007A50F2"/>
    <w:rsid w:val="007C5D5A"/>
    <w:rsid w:val="007D3CEB"/>
    <w:rsid w:val="007E5A03"/>
    <w:rsid w:val="007E6A0D"/>
    <w:rsid w:val="007F29BB"/>
    <w:rsid w:val="0080567C"/>
    <w:rsid w:val="00807FD2"/>
    <w:rsid w:val="0081133F"/>
    <w:rsid w:val="008211EC"/>
    <w:rsid w:val="00834CA9"/>
    <w:rsid w:val="00852354"/>
    <w:rsid w:val="008705D8"/>
    <w:rsid w:val="00872DBA"/>
    <w:rsid w:val="0088051A"/>
    <w:rsid w:val="00885076"/>
    <w:rsid w:val="008904E4"/>
    <w:rsid w:val="00891895"/>
    <w:rsid w:val="00891B41"/>
    <w:rsid w:val="00892B5D"/>
    <w:rsid w:val="00894D8C"/>
    <w:rsid w:val="008B6D85"/>
    <w:rsid w:val="008C0469"/>
    <w:rsid w:val="008C075D"/>
    <w:rsid w:val="008C3B44"/>
    <w:rsid w:val="008D52BA"/>
    <w:rsid w:val="008E3940"/>
    <w:rsid w:val="008E7099"/>
    <w:rsid w:val="008F1C14"/>
    <w:rsid w:val="008F297F"/>
    <w:rsid w:val="008F3301"/>
    <w:rsid w:val="008F67FA"/>
    <w:rsid w:val="009277CB"/>
    <w:rsid w:val="00945EA2"/>
    <w:rsid w:val="00960758"/>
    <w:rsid w:val="00961F01"/>
    <w:rsid w:val="00962BE3"/>
    <w:rsid w:val="0097216B"/>
    <w:rsid w:val="00973732"/>
    <w:rsid w:val="00986777"/>
    <w:rsid w:val="00995D4B"/>
    <w:rsid w:val="009A4B1B"/>
    <w:rsid w:val="009A65EE"/>
    <w:rsid w:val="009B54CB"/>
    <w:rsid w:val="009B677B"/>
    <w:rsid w:val="009C5CB8"/>
    <w:rsid w:val="009E1818"/>
    <w:rsid w:val="009E6632"/>
    <w:rsid w:val="009E6EF5"/>
    <w:rsid w:val="009F0963"/>
    <w:rsid w:val="009F0BCE"/>
    <w:rsid w:val="00A12951"/>
    <w:rsid w:val="00A20892"/>
    <w:rsid w:val="00A32353"/>
    <w:rsid w:val="00A36E2B"/>
    <w:rsid w:val="00A37CCD"/>
    <w:rsid w:val="00A4506C"/>
    <w:rsid w:val="00A53CDA"/>
    <w:rsid w:val="00A54321"/>
    <w:rsid w:val="00A6436A"/>
    <w:rsid w:val="00A66B5F"/>
    <w:rsid w:val="00A70CE7"/>
    <w:rsid w:val="00A82646"/>
    <w:rsid w:val="00A92A48"/>
    <w:rsid w:val="00AA1D88"/>
    <w:rsid w:val="00AB758B"/>
    <w:rsid w:val="00AE783F"/>
    <w:rsid w:val="00AF2C4F"/>
    <w:rsid w:val="00B03285"/>
    <w:rsid w:val="00B063B4"/>
    <w:rsid w:val="00B1168C"/>
    <w:rsid w:val="00B126BE"/>
    <w:rsid w:val="00B13065"/>
    <w:rsid w:val="00B13161"/>
    <w:rsid w:val="00B15B90"/>
    <w:rsid w:val="00B34F46"/>
    <w:rsid w:val="00B55E85"/>
    <w:rsid w:val="00B6028E"/>
    <w:rsid w:val="00B61800"/>
    <w:rsid w:val="00B764D0"/>
    <w:rsid w:val="00B76C13"/>
    <w:rsid w:val="00B93A62"/>
    <w:rsid w:val="00BA2A25"/>
    <w:rsid w:val="00BA6BA6"/>
    <w:rsid w:val="00BB2494"/>
    <w:rsid w:val="00BB3235"/>
    <w:rsid w:val="00BC2886"/>
    <w:rsid w:val="00BD0693"/>
    <w:rsid w:val="00BD50F9"/>
    <w:rsid w:val="00BE2444"/>
    <w:rsid w:val="00BE3600"/>
    <w:rsid w:val="00C011BE"/>
    <w:rsid w:val="00C10928"/>
    <w:rsid w:val="00C17702"/>
    <w:rsid w:val="00C20CD0"/>
    <w:rsid w:val="00C346F8"/>
    <w:rsid w:val="00C36B68"/>
    <w:rsid w:val="00C429DB"/>
    <w:rsid w:val="00C4544C"/>
    <w:rsid w:val="00C4607A"/>
    <w:rsid w:val="00C60AE8"/>
    <w:rsid w:val="00C700D6"/>
    <w:rsid w:val="00C733D8"/>
    <w:rsid w:val="00C83F85"/>
    <w:rsid w:val="00C840D7"/>
    <w:rsid w:val="00C85030"/>
    <w:rsid w:val="00CB6A35"/>
    <w:rsid w:val="00CC467A"/>
    <w:rsid w:val="00CD2BD7"/>
    <w:rsid w:val="00CF2B73"/>
    <w:rsid w:val="00D016B1"/>
    <w:rsid w:val="00D130AB"/>
    <w:rsid w:val="00D202E5"/>
    <w:rsid w:val="00D27DEC"/>
    <w:rsid w:val="00D34372"/>
    <w:rsid w:val="00D56336"/>
    <w:rsid w:val="00D60606"/>
    <w:rsid w:val="00D64642"/>
    <w:rsid w:val="00D6558C"/>
    <w:rsid w:val="00D65648"/>
    <w:rsid w:val="00D91EE8"/>
    <w:rsid w:val="00D964DE"/>
    <w:rsid w:val="00D96EF1"/>
    <w:rsid w:val="00DA08CC"/>
    <w:rsid w:val="00DB35B2"/>
    <w:rsid w:val="00DC5EE3"/>
    <w:rsid w:val="00DD6301"/>
    <w:rsid w:val="00E20CD9"/>
    <w:rsid w:val="00E228E6"/>
    <w:rsid w:val="00E27728"/>
    <w:rsid w:val="00E27E8B"/>
    <w:rsid w:val="00E316D2"/>
    <w:rsid w:val="00E431E3"/>
    <w:rsid w:val="00E514CE"/>
    <w:rsid w:val="00E56FB9"/>
    <w:rsid w:val="00E64E6F"/>
    <w:rsid w:val="00E773DC"/>
    <w:rsid w:val="00E77715"/>
    <w:rsid w:val="00E84804"/>
    <w:rsid w:val="00E8642D"/>
    <w:rsid w:val="00E960EE"/>
    <w:rsid w:val="00EA0A0B"/>
    <w:rsid w:val="00EA0B3A"/>
    <w:rsid w:val="00EA579F"/>
    <w:rsid w:val="00EB46CF"/>
    <w:rsid w:val="00EC29C1"/>
    <w:rsid w:val="00EC3757"/>
    <w:rsid w:val="00EC548B"/>
    <w:rsid w:val="00ED0CCF"/>
    <w:rsid w:val="00EE540E"/>
    <w:rsid w:val="00EF52BA"/>
    <w:rsid w:val="00F122C6"/>
    <w:rsid w:val="00F176DD"/>
    <w:rsid w:val="00F177A1"/>
    <w:rsid w:val="00F1799A"/>
    <w:rsid w:val="00F32E4B"/>
    <w:rsid w:val="00F44E48"/>
    <w:rsid w:val="00F51869"/>
    <w:rsid w:val="00F5690B"/>
    <w:rsid w:val="00F57EA5"/>
    <w:rsid w:val="00F64D90"/>
    <w:rsid w:val="00F67193"/>
    <w:rsid w:val="00F731EE"/>
    <w:rsid w:val="00F84A7E"/>
    <w:rsid w:val="00F852EC"/>
    <w:rsid w:val="00FA278E"/>
    <w:rsid w:val="00FA6502"/>
    <w:rsid w:val="00FD298E"/>
    <w:rsid w:val="00FD66F0"/>
    <w:rsid w:val="00FE7370"/>
    <w:rsid w:val="00FE7677"/>
    <w:rsid w:val="00FF5D1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59612"/>
  <w15:chartTrackingRefBased/>
  <w15:docId w15:val="{E2484BA4-96EB-46BC-AF33-2CDBD6643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customStyle="1" w:styleId="Char">
    <w:name w:val="Char"/>
    <w:basedOn w:val="Normal"/>
    <w:pPr>
      <w:spacing w:after="160" w:line="240" w:lineRule="exact"/>
    </w:pPr>
    <w:rPr>
      <w:rFonts w:ascii="Verdana" w:hAnsi="Verdana"/>
      <w:sz w:val="20"/>
      <w:szCs w:val="20"/>
    </w:rPr>
  </w:style>
  <w:style w:type="character" w:styleId="Strong">
    <w:name w:val="Strong"/>
    <w:uiPriority w:val="22"/>
    <w:qFormat/>
    <w:rPr>
      <w:b/>
      <w:bCs/>
    </w:rPr>
  </w:style>
  <w:style w:type="character" w:styleId="Hyperlink">
    <w:name w:val="Hyperlink"/>
    <w:uiPriority w:val="99"/>
    <w:rPr>
      <w:color w:val="0000FF"/>
      <w:u w:val="single"/>
    </w:rPr>
  </w:style>
  <w:style w:type="paragraph" w:styleId="NormalWeb">
    <w:name w:val="Normal (Web)"/>
    <w:basedOn w:val="Normal"/>
    <w:uiPriority w:val="99"/>
    <w:pPr>
      <w:spacing w:before="100" w:beforeAutospacing="1" w:after="150"/>
    </w:pPr>
    <w:rPr>
      <w:rFonts w:ascii="Arial" w:hAnsi="Arial" w:cs="Arial"/>
      <w:color w:val="676767"/>
    </w:rPr>
  </w:style>
  <w:style w:type="paragraph" w:styleId="BalloonText">
    <w:name w:val="Balloon Text"/>
    <w:basedOn w:val="Normal"/>
    <w:semiHidden/>
    <w:rPr>
      <w:rFonts w:ascii="Tahoma" w:hAnsi="Tahoma" w:cs="Tahoma"/>
      <w:sz w:val="16"/>
      <w:szCs w:val="16"/>
    </w:rPr>
  </w:style>
  <w:style w:type="paragraph" w:styleId="PlainText">
    <w:name w:val="Plain Text"/>
    <w:basedOn w:val="Normal"/>
    <w:rPr>
      <w:rFonts w:ascii="Courier New" w:hAnsi="Courier New" w:cs="Courier New"/>
      <w:sz w:val="20"/>
      <w:szCs w:val="20"/>
    </w:rPr>
  </w:style>
  <w:style w:type="paragraph" w:styleId="BodyText">
    <w:name w:val="Body Text"/>
    <w:basedOn w:val="Normal"/>
    <w:link w:val="BodyTextChar"/>
    <w:pPr>
      <w:jc w:val="center"/>
    </w:pPr>
    <w:rPr>
      <w:rFonts w:ascii="Arial" w:hAnsi="Arial"/>
      <w:sz w:val="22"/>
      <w:szCs w:val="20"/>
    </w:rPr>
  </w:style>
  <w:style w:type="paragraph" w:styleId="BodyText3">
    <w:name w:val="Body Text 3"/>
    <w:basedOn w:val="Normal"/>
    <w:pPr>
      <w:tabs>
        <w:tab w:val="left" w:pos="720"/>
        <w:tab w:val="right" w:pos="8550"/>
      </w:tabs>
      <w:spacing w:line="360" w:lineRule="auto"/>
    </w:pPr>
    <w:rPr>
      <w:rFonts w:ascii="Arial" w:hAnsi="Arial"/>
      <w:sz w:val="22"/>
      <w:szCs w:val="20"/>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Body1">
    <w:name w:val="Body 1"/>
    <w:rsid w:val="00D964DE"/>
    <w:pPr>
      <w:outlineLvl w:val="0"/>
    </w:pPr>
    <w:rPr>
      <w:rFonts w:ascii="Helvetica" w:eastAsia="Arial Unicode MS" w:hAnsi="Helvetica"/>
      <w:color w:val="000000"/>
      <w:sz w:val="24"/>
      <w:u w:color="000000"/>
    </w:rPr>
  </w:style>
  <w:style w:type="character" w:styleId="CommentReference">
    <w:name w:val="annotation reference"/>
    <w:rsid w:val="00D964DE"/>
    <w:rPr>
      <w:sz w:val="18"/>
      <w:szCs w:val="18"/>
    </w:rPr>
  </w:style>
  <w:style w:type="paragraph" w:styleId="CommentText">
    <w:name w:val="annotation text"/>
    <w:basedOn w:val="Normal"/>
    <w:link w:val="CommentTextChar"/>
    <w:rsid w:val="00D964DE"/>
    <w:rPr>
      <w:lang w:val="x-none" w:eastAsia="x-none"/>
    </w:rPr>
  </w:style>
  <w:style w:type="character" w:customStyle="1" w:styleId="CommentTextChar">
    <w:name w:val="Comment Text Char"/>
    <w:link w:val="CommentText"/>
    <w:rsid w:val="00D964DE"/>
    <w:rPr>
      <w:sz w:val="24"/>
      <w:szCs w:val="24"/>
    </w:rPr>
  </w:style>
  <w:style w:type="paragraph" w:styleId="BodyText2">
    <w:name w:val="Body Text 2"/>
    <w:basedOn w:val="Normal"/>
    <w:link w:val="BodyText2Char"/>
    <w:rsid w:val="00CC467A"/>
    <w:pPr>
      <w:spacing w:after="120" w:line="480" w:lineRule="auto"/>
    </w:pPr>
    <w:rPr>
      <w:rFonts w:eastAsia="MS Mincho"/>
      <w:lang w:eastAsia="ja-JP"/>
    </w:rPr>
  </w:style>
  <w:style w:type="character" w:customStyle="1" w:styleId="BodyText2Char">
    <w:name w:val="Body Text 2 Char"/>
    <w:link w:val="BodyText2"/>
    <w:rsid w:val="00CC467A"/>
    <w:rPr>
      <w:rFonts w:eastAsia="MS Mincho"/>
      <w:sz w:val="24"/>
      <w:szCs w:val="24"/>
      <w:lang w:eastAsia="ja-JP"/>
    </w:rPr>
  </w:style>
  <w:style w:type="character" w:customStyle="1" w:styleId="BodyTextChar">
    <w:name w:val="Body Text Char"/>
    <w:link w:val="BodyText"/>
    <w:rsid w:val="00CC467A"/>
    <w:rPr>
      <w:rFonts w:ascii="Arial" w:hAnsi="Arial"/>
      <w:sz w:val="22"/>
    </w:rPr>
  </w:style>
  <w:style w:type="character" w:customStyle="1" w:styleId="underline1">
    <w:name w:val="underline1"/>
    <w:rsid w:val="00385D47"/>
    <w:rPr>
      <w:u w:val="single"/>
    </w:rPr>
  </w:style>
  <w:style w:type="character" w:styleId="Emphasis">
    <w:name w:val="Emphasis"/>
    <w:uiPriority w:val="20"/>
    <w:qFormat/>
    <w:rsid w:val="00385D47"/>
    <w:rPr>
      <w:i/>
      <w:iCs/>
    </w:rPr>
  </w:style>
  <w:style w:type="character" w:styleId="UnresolvedMention">
    <w:name w:val="Unresolved Mention"/>
    <w:uiPriority w:val="99"/>
    <w:semiHidden/>
    <w:unhideWhenUsed/>
    <w:rsid w:val="00345893"/>
    <w:rPr>
      <w:color w:val="605E5C"/>
      <w:shd w:val="clear" w:color="auto" w:fill="E1DFDD"/>
    </w:rPr>
  </w:style>
  <w:style w:type="paragraph" w:styleId="ListParagraph">
    <w:name w:val="List Paragraph"/>
    <w:basedOn w:val="Normal"/>
    <w:uiPriority w:val="34"/>
    <w:qFormat/>
    <w:rsid w:val="006B5EBD"/>
    <w:pPr>
      <w:ind w:left="720"/>
    </w:pPr>
    <w:rPr>
      <w:rFonts w:ascii="Calibri" w:eastAsia="Calibri" w:hAnsi="Calibri" w:cs="Calibri"/>
      <w:sz w:val="22"/>
      <w:szCs w:val="22"/>
    </w:rPr>
  </w:style>
  <w:style w:type="paragraph" w:styleId="Revision">
    <w:name w:val="Revision"/>
    <w:hidden/>
    <w:uiPriority w:val="71"/>
    <w:rsid w:val="00A53CDA"/>
    <w:rPr>
      <w:sz w:val="24"/>
      <w:szCs w:val="24"/>
    </w:rPr>
  </w:style>
  <w:style w:type="paragraph" w:styleId="CommentSubject">
    <w:name w:val="annotation subject"/>
    <w:basedOn w:val="CommentText"/>
    <w:next w:val="CommentText"/>
    <w:link w:val="CommentSubjectChar"/>
    <w:rsid w:val="005D7550"/>
    <w:rPr>
      <w:b/>
      <w:bCs/>
      <w:sz w:val="20"/>
      <w:szCs w:val="20"/>
      <w:lang w:val="en-US" w:eastAsia="en-US"/>
    </w:rPr>
  </w:style>
  <w:style w:type="character" w:customStyle="1" w:styleId="CommentSubjectChar">
    <w:name w:val="Comment Subject Char"/>
    <w:basedOn w:val="CommentTextChar"/>
    <w:link w:val="CommentSubject"/>
    <w:rsid w:val="005D7550"/>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83828">
      <w:bodyDiv w:val="1"/>
      <w:marLeft w:val="0"/>
      <w:marRight w:val="0"/>
      <w:marTop w:val="0"/>
      <w:marBottom w:val="0"/>
      <w:divBdr>
        <w:top w:val="none" w:sz="0" w:space="0" w:color="auto"/>
        <w:left w:val="none" w:sz="0" w:space="0" w:color="auto"/>
        <w:bottom w:val="none" w:sz="0" w:space="0" w:color="auto"/>
        <w:right w:val="none" w:sz="0" w:space="0" w:color="auto"/>
      </w:divBdr>
    </w:div>
    <w:div w:id="103885663">
      <w:bodyDiv w:val="1"/>
      <w:marLeft w:val="0"/>
      <w:marRight w:val="0"/>
      <w:marTop w:val="0"/>
      <w:marBottom w:val="0"/>
      <w:divBdr>
        <w:top w:val="none" w:sz="0" w:space="0" w:color="auto"/>
        <w:left w:val="none" w:sz="0" w:space="0" w:color="auto"/>
        <w:bottom w:val="none" w:sz="0" w:space="0" w:color="auto"/>
        <w:right w:val="none" w:sz="0" w:space="0" w:color="auto"/>
      </w:divBdr>
    </w:div>
    <w:div w:id="258832191">
      <w:bodyDiv w:val="1"/>
      <w:marLeft w:val="0"/>
      <w:marRight w:val="0"/>
      <w:marTop w:val="0"/>
      <w:marBottom w:val="0"/>
      <w:divBdr>
        <w:top w:val="none" w:sz="0" w:space="0" w:color="auto"/>
        <w:left w:val="none" w:sz="0" w:space="0" w:color="auto"/>
        <w:bottom w:val="none" w:sz="0" w:space="0" w:color="auto"/>
        <w:right w:val="none" w:sz="0" w:space="0" w:color="auto"/>
      </w:divBdr>
    </w:div>
    <w:div w:id="384719785">
      <w:bodyDiv w:val="1"/>
      <w:marLeft w:val="0"/>
      <w:marRight w:val="0"/>
      <w:marTop w:val="0"/>
      <w:marBottom w:val="0"/>
      <w:divBdr>
        <w:top w:val="none" w:sz="0" w:space="0" w:color="auto"/>
        <w:left w:val="none" w:sz="0" w:space="0" w:color="auto"/>
        <w:bottom w:val="none" w:sz="0" w:space="0" w:color="auto"/>
        <w:right w:val="none" w:sz="0" w:space="0" w:color="auto"/>
      </w:divBdr>
      <w:divsChild>
        <w:div w:id="1597909609">
          <w:marLeft w:val="0"/>
          <w:marRight w:val="0"/>
          <w:marTop w:val="0"/>
          <w:marBottom w:val="0"/>
          <w:divBdr>
            <w:top w:val="none" w:sz="0" w:space="0" w:color="auto"/>
            <w:left w:val="none" w:sz="0" w:space="0" w:color="auto"/>
            <w:bottom w:val="none" w:sz="0" w:space="0" w:color="auto"/>
            <w:right w:val="none" w:sz="0" w:space="0" w:color="auto"/>
          </w:divBdr>
          <w:divsChild>
            <w:div w:id="69158784">
              <w:marLeft w:val="0"/>
              <w:marRight w:val="0"/>
              <w:marTop w:val="0"/>
              <w:marBottom w:val="0"/>
              <w:divBdr>
                <w:top w:val="none" w:sz="0" w:space="0" w:color="auto"/>
                <w:left w:val="none" w:sz="0" w:space="0" w:color="auto"/>
                <w:bottom w:val="none" w:sz="0" w:space="0" w:color="auto"/>
                <w:right w:val="none" w:sz="0" w:space="0" w:color="auto"/>
              </w:divBdr>
            </w:div>
            <w:div w:id="194970300">
              <w:marLeft w:val="0"/>
              <w:marRight w:val="0"/>
              <w:marTop w:val="0"/>
              <w:marBottom w:val="0"/>
              <w:divBdr>
                <w:top w:val="none" w:sz="0" w:space="0" w:color="auto"/>
                <w:left w:val="none" w:sz="0" w:space="0" w:color="auto"/>
                <w:bottom w:val="none" w:sz="0" w:space="0" w:color="auto"/>
                <w:right w:val="none" w:sz="0" w:space="0" w:color="auto"/>
              </w:divBdr>
            </w:div>
            <w:div w:id="568463861">
              <w:marLeft w:val="0"/>
              <w:marRight w:val="0"/>
              <w:marTop w:val="0"/>
              <w:marBottom w:val="0"/>
              <w:divBdr>
                <w:top w:val="none" w:sz="0" w:space="0" w:color="auto"/>
                <w:left w:val="none" w:sz="0" w:space="0" w:color="auto"/>
                <w:bottom w:val="none" w:sz="0" w:space="0" w:color="auto"/>
                <w:right w:val="none" w:sz="0" w:space="0" w:color="auto"/>
              </w:divBdr>
            </w:div>
            <w:div w:id="672075384">
              <w:marLeft w:val="0"/>
              <w:marRight w:val="0"/>
              <w:marTop w:val="0"/>
              <w:marBottom w:val="0"/>
              <w:divBdr>
                <w:top w:val="none" w:sz="0" w:space="0" w:color="auto"/>
                <w:left w:val="none" w:sz="0" w:space="0" w:color="auto"/>
                <w:bottom w:val="none" w:sz="0" w:space="0" w:color="auto"/>
                <w:right w:val="none" w:sz="0" w:space="0" w:color="auto"/>
              </w:divBdr>
            </w:div>
            <w:div w:id="10972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578049">
      <w:bodyDiv w:val="1"/>
      <w:marLeft w:val="0"/>
      <w:marRight w:val="0"/>
      <w:marTop w:val="0"/>
      <w:marBottom w:val="0"/>
      <w:divBdr>
        <w:top w:val="none" w:sz="0" w:space="0" w:color="auto"/>
        <w:left w:val="none" w:sz="0" w:space="0" w:color="auto"/>
        <w:bottom w:val="none" w:sz="0" w:space="0" w:color="auto"/>
        <w:right w:val="none" w:sz="0" w:space="0" w:color="auto"/>
      </w:divBdr>
    </w:div>
    <w:div w:id="498621806">
      <w:bodyDiv w:val="1"/>
      <w:marLeft w:val="0"/>
      <w:marRight w:val="0"/>
      <w:marTop w:val="0"/>
      <w:marBottom w:val="0"/>
      <w:divBdr>
        <w:top w:val="none" w:sz="0" w:space="0" w:color="auto"/>
        <w:left w:val="none" w:sz="0" w:space="0" w:color="auto"/>
        <w:bottom w:val="none" w:sz="0" w:space="0" w:color="auto"/>
        <w:right w:val="none" w:sz="0" w:space="0" w:color="auto"/>
      </w:divBdr>
    </w:div>
    <w:div w:id="782462175">
      <w:bodyDiv w:val="1"/>
      <w:marLeft w:val="0"/>
      <w:marRight w:val="0"/>
      <w:marTop w:val="0"/>
      <w:marBottom w:val="0"/>
      <w:divBdr>
        <w:top w:val="none" w:sz="0" w:space="0" w:color="auto"/>
        <w:left w:val="none" w:sz="0" w:space="0" w:color="auto"/>
        <w:bottom w:val="none" w:sz="0" w:space="0" w:color="auto"/>
        <w:right w:val="none" w:sz="0" w:space="0" w:color="auto"/>
      </w:divBdr>
    </w:div>
    <w:div w:id="844327110">
      <w:bodyDiv w:val="1"/>
      <w:marLeft w:val="0"/>
      <w:marRight w:val="0"/>
      <w:marTop w:val="0"/>
      <w:marBottom w:val="0"/>
      <w:divBdr>
        <w:top w:val="none" w:sz="0" w:space="0" w:color="auto"/>
        <w:left w:val="none" w:sz="0" w:space="0" w:color="auto"/>
        <w:bottom w:val="none" w:sz="0" w:space="0" w:color="auto"/>
        <w:right w:val="none" w:sz="0" w:space="0" w:color="auto"/>
      </w:divBdr>
    </w:div>
    <w:div w:id="881676156">
      <w:bodyDiv w:val="1"/>
      <w:marLeft w:val="0"/>
      <w:marRight w:val="0"/>
      <w:marTop w:val="0"/>
      <w:marBottom w:val="0"/>
      <w:divBdr>
        <w:top w:val="none" w:sz="0" w:space="0" w:color="auto"/>
        <w:left w:val="none" w:sz="0" w:space="0" w:color="auto"/>
        <w:bottom w:val="none" w:sz="0" w:space="0" w:color="auto"/>
        <w:right w:val="none" w:sz="0" w:space="0" w:color="auto"/>
      </w:divBdr>
    </w:div>
    <w:div w:id="921064669">
      <w:bodyDiv w:val="1"/>
      <w:marLeft w:val="0"/>
      <w:marRight w:val="0"/>
      <w:marTop w:val="0"/>
      <w:marBottom w:val="0"/>
      <w:divBdr>
        <w:top w:val="none" w:sz="0" w:space="0" w:color="auto"/>
        <w:left w:val="none" w:sz="0" w:space="0" w:color="auto"/>
        <w:bottom w:val="none" w:sz="0" w:space="0" w:color="auto"/>
        <w:right w:val="none" w:sz="0" w:space="0" w:color="auto"/>
      </w:divBdr>
    </w:div>
    <w:div w:id="1045328857">
      <w:bodyDiv w:val="1"/>
      <w:marLeft w:val="0"/>
      <w:marRight w:val="0"/>
      <w:marTop w:val="0"/>
      <w:marBottom w:val="0"/>
      <w:divBdr>
        <w:top w:val="none" w:sz="0" w:space="0" w:color="auto"/>
        <w:left w:val="none" w:sz="0" w:space="0" w:color="auto"/>
        <w:bottom w:val="none" w:sz="0" w:space="0" w:color="auto"/>
        <w:right w:val="none" w:sz="0" w:space="0" w:color="auto"/>
      </w:divBdr>
    </w:div>
    <w:div w:id="1072655838">
      <w:bodyDiv w:val="1"/>
      <w:marLeft w:val="0"/>
      <w:marRight w:val="0"/>
      <w:marTop w:val="0"/>
      <w:marBottom w:val="0"/>
      <w:divBdr>
        <w:top w:val="none" w:sz="0" w:space="0" w:color="auto"/>
        <w:left w:val="none" w:sz="0" w:space="0" w:color="auto"/>
        <w:bottom w:val="none" w:sz="0" w:space="0" w:color="auto"/>
        <w:right w:val="none" w:sz="0" w:space="0" w:color="auto"/>
      </w:divBdr>
    </w:div>
    <w:div w:id="1121728175">
      <w:bodyDiv w:val="1"/>
      <w:marLeft w:val="0"/>
      <w:marRight w:val="0"/>
      <w:marTop w:val="0"/>
      <w:marBottom w:val="0"/>
      <w:divBdr>
        <w:top w:val="none" w:sz="0" w:space="0" w:color="auto"/>
        <w:left w:val="none" w:sz="0" w:space="0" w:color="auto"/>
        <w:bottom w:val="none" w:sz="0" w:space="0" w:color="auto"/>
        <w:right w:val="none" w:sz="0" w:space="0" w:color="auto"/>
      </w:divBdr>
    </w:div>
    <w:div w:id="1183469465">
      <w:bodyDiv w:val="1"/>
      <w:marLeft w:val="0"/>
      <w:marRight w:val="0"/>
      <w:marTop w:val="0"/>
      <w:marBottom w:val="0"/>
      <w:divBdr>
        <w:top w:val="none" w:sz="0" w:space="0" w:color="auto"/>
        <w:left w:val="none" w:sz="0" w:space="0" w:color="auto"/>
        <w:bottom w:val="none" w:sz="0" w:space="0" w:color="auto"/>
        <w:right w:val="none" w:sz="0" w:space="0" w:color="auto"/>
      </w:divBdr>
    </w:div>
    <w:div w:id="1241134406">
      <w:bodyDiv w:val="1"/>
      <w:marLeft w:val="0"/>
      <w:marRight w:val="0"/>
      <w:marTop w:val="0"/>
      <w:marBottom w:val="0"/>
      <w:divBdr>
        <w:top w:val="none" w:sz="0" w:space="0" w:color="auto"/>
        <w:left w:val="none" w:sz="0" w:space="0" w:color="auto"/>
        <w:bottom w:val="none" w:sz="0" w:space="0" w:color="auto"/>
        <w:right w:val="none" w:sz="0" w:space="0" w:color="auto"/>
      </w:divBdr>
      <w:divsChild>
        <w:div w:id="1766270090">
          <w:marLeft w:val="0"/>
          <w:marRight w:val="0"/>
          <w:marTop w:val="0"/>
          <w:marBottom w:val="0"/>
          <w:divBdr>
            <w:top w:val="none" w:sz="0" w:space="0" w:color="auto"/>
            <w:left w:val="none" w:sz="0" w:space="0" w:color="auto"/>
            <w:bottom w:val="none" w:sz="0" w:space="0" w:color="auto"/>
            <w:right w:val="none" w:sz="0" w:space="0" w:color="auto"/>
          </w:divBdr>
        </w:div>
      </w:divsChild>
    </w:div>
    <w:div w:id="1402749403">
      <w:bodyDiv w:val="1"/>
      <w:marLeft w:val="0"/>
      <w:marRight w:val="0"/>
      <w:marTop w:val="0"/>
      <w:marBottom w:val="0"/>
      <w:divBdr>
        <w:top w:val="none" w:sz="0" w:space="0" w:color="auto"/>
        <w:left w:val="none" w:sz="0" w:space="0" w:color="auto"/>
        <w:bottom w:val="none" w:sz="0" w:space="0" w:color="auto"/>
        <w:right w:val="none" w:sz="0" w:space="0" w:color="auto"/>
      </w:divBdr>
    </w:div>
    <w:div w:id="1636763239">
      <w:bodyDiv w:val="1"/>
      <w:marLeft w:val="0"/>
      <w:marRight w:val="0"/>
      <w:marTop w:val="0"/>
      <w:marBottom w:val="0"/>
      <w:divBdr>
        <w:top w:val="none" w:sz="0" w:space="0" w:color="auto"/>
        <w:left w:val="none" w:sz="0" w:space="0" w:color="auto"/>
        <w:bottom w:val="none" w:sz="0" w:space="0" w:color="auto"/>
        <w:right w:val="none" w:sz="0" w:space="0" w:color="auto"/>
      </w:divBdr>
    </w:div>
    <w:div w:id="1868442521">
      <w:bodyDiv w:val="1"/>
      <w:marLeft w:val="0"/>
      <w:marRight w:val="0"/>
      <w:marTop w:val="0"/>
      <w:marBottom w:val="0"/>
      <w:divBdr>
        <w:top w:val="none" w:sz="0" w:space="0" w:color="auto"/>
        <w:left w:val="none" w:sz="0" w:space="0" w:color="auto"/>
        <w:bottom w:val="none" w:sz="0" w:space="0" w:color="auto"/>
        <w:right w:val="none" w:sz="0" w:space="0" w:color="auto"/>
      </w:divBdr>
    </w:div>
    <w:div w:id="210949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morganmyers.com/NewsReleasePhotos/Safe-Guard%20AquaSol%20Product%20Insert.pdf" TargetMode="External"/><Relationship Id="rId18" Type="http://schemas.openxmlformats.org/officeDocument/2006/relationships/hyperlink" Target="https://twitter.com/MerckAH"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kathleen.cuddy@merck.co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facebook.com/merckanimalhealth"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linkedin.com/showcase/merck-animal-health/" TargetMode="External"/><Relationship Id="rId20" Type="http://schemas.openxmlformats.org/officeDocument/2006/relationships/hyperlink" Target="http://www.sec.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merck-animal-health.com/"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instagram.com/merckanimalhealt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6265F19ED686649A692F6D956446D3A" ma:contentTypeVersion="12" ma:contentTypeDescription="Create a new document." ma:contentTypeScope="" ma:versionID="8d0f2b949234bece4d592c1d2049d360">
  <xsd:schema xmlns:xsd="http://www.w3.org/2001/XMLSchema" xmlns:xs="http://www.w3.org/2001/XMLSchema" xmlns:p="http://schemas.microsoft.com/office/2006/metadata/properties" xmlns:ns1="http://schemas.microsoft.com/sharepoint/v3" xmlns:ns2="161b3b22-b0b3-4cff-beaf-e8127f87b59b" targetNamespace="http://schemas.microsoft.com/office/2006/metadata/properties" ma:root="true" ma:fieldsID="70aa57d1339ed28a0825a34879273c8c" ns1:_="" ns2:_="">
    <xsd:import namespace="http://schemas.microsoft.com/sharepoint/v3"/>
    <xsd:import namespace="161b3b22-b0b3-4cff-beaf-e8127f87b59b"/>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AutoTag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1b3b22-b0b3-4cff-beaf-e8127f87b5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a10f9ac0-5937-4b4f-b459-96aedd9ed2c5" origin="userSelected">
  <element uid="id_classification_euconfidential" value=""/>
  <element uid="cefbaa69-3bfa-4b56-8d22-6839cb7b06d0" value=""/>
</sisl>
</file>

<file path=customXml/itemProps1.xml><?xml version="1.0" encoding="utf-8"?>
<ds:datastoreItem xmlns:ds="http://schemas.openxmlformats.org/officeDocument/2006/customXml" ds:itemID="{DA83A01A-BDAA-4EAD-AF9A-57254752092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5953DD-AF78-4DB2-83E7-6BB2BB0AAA8B}">
  <ds:schemaRefs>
    <ds:schemaRef ds:uri="http://schemas.microsoft.com/office/2006/metadata/longProperties"/>
  </ds:schemaRefs>
</ds:datastoreItem>
</file>

<file path=customXml/itemProps3.xml><?xml version="1.0" encoding="utf-8"?>
<ds:datastoreItem xmlns:ds="http://schemas.openxmlformats.org/officeDocument/2006/customXml" ds:itemID="{3885765A-F50E-4E64-A5C7-611D9162BD01}">
  <ds:schemaRefs>
    <ds:schemaRef ds:uri="http://schemas.microsoft.com/sharepoint/v3/contenttype/forms"/>
  </ds:schemaRefs>
</ds:datastoreItem>
</file>

<file path=customXml/itemProps4.xml><?xml version="1.0" encoding="utf-8"?>
<ds:datastoreItem xmlns:ds="http://schemas.openxmlformats.org/officeDocument/2006/customXml" ds:itemID="{B6135814-FC8F-4FFD-A833-B74899502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61b3b22-b0b3-4cff-beaf-e8127f87b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A13471-39F6-42CC-8EAB-C96C5A9052C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953</Words>
  <Characters>5663</Characters>
  <Application>Microsoft Office Word</Application>
  <DocSecurity>0</DocSecurity>
  <Lines>115</Lines>
  <Paragraphs>27</Paragraphs>
  <ScaleCrop>false</ScaleCrop>
  <HeadingPairs>
    <vt:vector size="2" baseType="variant">
      <vt:variant>
        <vt:lpstr>Title</vt:lpstr>
      </vt:variant>
      <vt:variant>
        <vt:i4>1</vt:i4>
      </vt:variant>
    </vt:vector>
  </HeadingPairs>
  <TitlesOfParts>
    <vt:vector size="1" baseType="lpstr">
      <vt:lpstr>DRAFT Go Forward Release (00299614-2).DOC</vt:lpstr>
    </vt:vector>
  </TitlesOfParts>
  <Company>Authorized user</Company>
  <LinksUpToDate>false</LinksUpToDate>
  <CharactersWithSpaces>6589</CharactersWithSpaces>
  <SharedDoc>false</SharedDoc>
  <HLinks>
    <vt:vector size="36" baseType="variant">
      <vt:variant>
        <vt:i4>2752628</vt:i4>
      </vt:variant>
      <vt:variant>
        <vt:i4>15</vt:i4>
      </vt:variant>
      <vt:variant>
        <vt:i4>0</vt:i4>
      </vt:variant>
      <vt:variant>
        <vt:i4>5</vt:i4>
      </vt:variant>
      <vt:variant>
        <vt:lpwstr>http://www.sec.gov/</vt:lpwstr>
      </vt:variant>
      <vt:variant>
        <vt:lpwstr/>
      </vt:variant>
      <vt:variant>
        <vt:i4>458832</vt:i4>
      </vt:variant>
      <vt:variant>
        <vt:i4>12</vt:i4>
      </vt:variant>
      <vt:variant>
        <vt:i4>0</vt:i4>
      </vt:variant>
      <vt:variant>
        <vt:i4>5</vt:i4>
      </vt:variant>
      <vt:variant>
        <vt:lpwstr>https://www.instagram.com/merckanimalhealth/</vt:lpwstr>
      </vt:variant>
      <vt:variant>
        <vt:lpwstr/>
      </vt:variant>
      <vt:variant>
        <vt:i4>8257569</vt:i4>
      </vt:variant>
      <vt:variant>
        <vt:i4>9</vt:i4>
      </vt:variant>
      <vt:variant>
        <vt:i4>0</vt:i4>
      </vt:variant>
      <vt:variant>
        <vt:i4>5</vt:i4>
      </vt:variant>
      <vt:variant>
        <vt:lpwstr>https://twitter.com/MerckAH</vt:lpwstr>
      </vt:variant>
      <vt:variant>
        <vt:lpwstr/>
      </vt:variant>
      <vt:variant>
        <vt:i4>3932212</vt:i4>
      </vt:variant>
      <vt:variant>
        <vt:i4>6</vt:i4>
      </vt:variant>
      <vt:variant>
        <vt:i4>0</vt:i4>
      </vt:variant>
      <vt:variant>
        <vt:i4>5</vt:i4>
      </vt:variant>
      <vt:variant>
        <vt:lpwstr>https://www.facebook.com/merckanimalhealth</vt:lpwstr>
      </vt:variant>
      <vt:variant>
        <vt:lpwstr/>
      </vt:variant>
      <vt:variant>
        <vt:i4>8061034</vt:i4>
      </vt:variant>
      <vt:variant>
        <vt:i4>3</vt:i4>
      </vt:variant>
      <vt:variant>
        <vt:i4>0</vt:i4>
      </vt:variant>
      <vt:variant>
        <vt:i4>5</vt:i4>
      </vt:variant>
      <vt:variant>
        <vt:lpwstr>https://www.linkedin.com/showcase/merck-animal-health/</vt:lpwstr>
      </vt:variant>
      <vt:variant>
        <vt:lpwstr/>
      </vt:variant>
      <vt:variant>
        <vt:i4>7602216</vt:i4>
      </vt:variant>
      <vt:variant>
        <vt:i4>0</vt:i4>
      </vt:variant>
      <vt:variant>
        <vt:i4>0</vt:i4>
      </vt:variant>
      <vt:variant>
        <vt:i4>5</vt:i4>
      </vt:variant>
      <vt:variant>
        <vt:lpwstr>http://www.merck-animal-health.com/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Go Forward Release (00299614-2).DOC</dc:title>
  <dc:subject>00299614.DOC;2</dc:subject>
  <dc:creator>bfasbender</dc:creator>
  <cp:keywords/>
  <cp:lastModifiedBy>Cuddy, Kathleen</cp:lastModifiedBy>
  <cp:revision>2</cp:revision>
  <cp:lastPrinted>2014-09-10T15:53:00Z</cp:lastPrinted>
  <dcterms:created xsi:type="dcterms:W3CDTF">2024-11-08T16:07:00Z</dcterms:created>
  <dcterms:modified xsi:type="dcterms:W3CDTF">2024-11-08T16:07:00Z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QZQFWKSMH2RT-70-4</vt:lpwstr>
  </property>
  <property fmtid="{D5CDD505-2E9C-101B-9397-08002B2CF9AE}" pid="3" name="_dlc_DocIdItemGuid">
    <vt:lpwstr>b68637ac-7872-417d-b9d7-86d5ad613eba</vt:lpwstr>
  </property>
  <property fmtid="{D5CDD505-2E9C-101B-9397-08002B2CF9AE}" pid="4" name="_dlc_DocIdUrl">
    <vt:lpwstr>http://splcps.merck.com/sites/COMM/AH/_layouts/DocIdRedir.aspx?ID=QZQFWKSMH2RT-70-4, QZQFWKSMH2RT-70-4</vt:lpwstr>
  </property>
  <property fmtid="{D5CDD505-2E9C-101B-9397-08002B2CF9AE}" pid="5" name="docIndexRef">
    <vt:lpwstr>ca436b92-9d71-425a-9685-496499bea0f1</vt:lpwstr>
  </property>
  <property fmtid="{D5CDD505-2E9C-101B-9397-08002B2CF9AE}" pid="6" name="bjSaver">
    <vt:lpwstr>Kw3PM+z39hUdtNDvlJIJMT5zmBUltl64</vt:lpwstr>
  </property>
  <property fmtid="{D5CDD505-2E9C-101B-9397-08002B2CF9AE}" pid="7" name="bjDocumentSecurityLabel">
    <vt:lpwstr>Proprietary</vt:lpwstr>
  </property>
  <property fmtid="{D5CDD505-2E9C-101B-9397-08002B2CF9AE}" pid="8" name="MerckMetadataExchange">
    <vt:lpwstr>!$MRK@Proprietary-Footer-Left</vt:lpwstr>
  </property>
  <property fmtid="{D5CDD505-2E9C-101B-9397-08002B2CF9AE}" pid="9" name="display_urn:schemas-microsoft-com:office:office#Editor">
    <vt:lpwstr>migrateduser@merck.com</vt:lpwstr>
  </property>
  <property fmtid="{D5CDD505-2E9C-101B-9397-08002B2CF9AE}" pid="10" name="display_urn:schemas-microsoft-com:office:office#Author">
    <vt:lpwstr>migrateduser@merck.com</vt:lpwstr>
  </property>
  <property fmtid="{D5CDD505-2E9C-101B-9397-08002B2CF9AE}" pid="11"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12" name="bjDocumentLabelXML-0">
    <vt:lpwstr>ames.com/2008/01/sie/internal/label"&gt;&lt;element uid="id_classification_euconfidential" value="" /&gt;&lt;element uid="cefbaa69-3bfa-4b56-8d22-6839cb7b06d0" value="" /&gt;&lt;/sisl&gt;</vt:lpwstr>
  </property>
  <property fmtid="{D5CDD505-2E9C-101B-9397-08002B2CF9AE}" pid="13" name="ContentTypeId">
    <vt:lpwstr>0x01010086233D851C967D46AB1E1BBADAFC65A7</vt:lpwstr>
  </property>
  <property fmtid="{D5CDD505-2E9C-101B-9397-08002B2CF9AE}" pid="14" name="MSIP_Label_927fd646-07cb-4c4e-a107-4e4d6b30ba1b_Enabled">
    <vt:lpwstr>true</vt:lpwstr>
  </property>
  <property fmtid="{D5CDD505-2E9C-101B-9397-08002B2CF9AE}" pid="15" name="MSIP_Label_927fd646-07cb-4c4e-a107-4e4d6b30ba1b_SetDate">
    <vt:lpwstr>2021-09-10T12:24:37Z</vt:lpwstr>
  </property>
  <property fmtid="{D5CDD505-2E9C-101B-9397-08002B2CF9AE}" pid="16" name="MSIP_Label_927fd646-07cb-4c4e-a107-4e4d6b30ba1b_Method">
    <vt:lpwstr>Standard</vt:lpwstr>
  </property>
  <property fmtid="{D5CDD505-2E9C-101B-9397-08002B2CF9AE}" pid="17" name="MSIP_Label_927fd646-07cb-4c4e-a107-4e4d6b30ba1b_Name">
    <vt:lpwstr>927fd646-07cb-4c4e-a107-4e4d6b30ba1b</vt:lpwstr>
  </property>
  <property fmtid="{D5CDD505-2E9C-101B-9397-08002B2CF9AE}" pid="18" name="MSIP_Label_927fd646-07cb-4c4e-a107-4e4d6b30ba1b_SiteId">
    <vt:lpwstr>a00de4ec-48a8-43a6-be74-e31274e2060d</vt:lpwstr>
  </property>
  <property fmtid="{D5CDD505-2E9C-101B-9397-08002B2CF9AE}" pid="19" name="MSIP_Label_927fd646-07cb-4c4e-a107-4e4d6b30ba1b_ActionId">
    <vt:lpwstr>fbb48821-4706-4164-bdc4-5f5092f91dec</vt:lpwstr>
  </property>
  <property fmtid="{D5CDD505-2E9C-101B-9397-08002B2CF9AE}" pid="20" name="MSIP_Label_927fd646-07cb-4c4e-a107-4e4d6b30ba1b_ContentBits">
    <vt:lpwstr>1</vt:lpwstr>
  </property>
  <property fmtid="{D5CDD505-2E9C-101B-9397-08002B2CF9AE}" pid="21" name="GrammarlyDocumentId">
    <vt:lpwstr>5c58db7b21fc64fbaf00a7f7193ffe9c856ddbc35f0a9064bd2e3ddf06615894</vt:lpwstr>
  </property>
  <property fmtid="{D5CDD505-2E9C-101B-9397-08002B2CF9AE}" pid="22" name="_AdHocReviewCycleID">
    <vt:i4>1973034484</vt:i4>
  </property>
  <property fmtid="{D5CDD505-2E9C-101B-9397-08002B2CF9AE}" pid="23" name="_NewReviewCycle">
    <vt:lpwstr/>
  </property>
  <property fmtid="{D5CDD505-2E9C-101B-9397-08002B2CF9AE}" pid="24" name="_EmailSubject">
    <vt:lpwstr>Backyard Chicken Release </vt:lpwstr>
  </property>
  <property fmtid="{D5CDD505-2E9C-101B-9397-08002B2CF9AE}" pid="25" name="_AuthorEmail">
    <vt:lpwstr>kathleen.cuddy@merck.com</vt:lpwstr>
  </property>
  <property fmtid="{D5CDD505-2E9C-101B-9397-08002B2CF9AE}" pid="26" name="_AuthorEmailDisplayName">
    <vt:lpwstr>Cuddy, Kathleen</vt:lpwstr>
  </property>
</Properties>
</file>